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5387"/>
        <w:jc w:val="both"/>
        <w:rPr>
          <w:color w:val="000000"/>
        </w:rPr>
      </w:pPr>
      <w:r>
        <w:rPr>
          <w:color w:val="000000"/>
        </w:rPr>
        <w:t xml:space="preserve"> </w:t>
      </w:r>
    </w:p>
    <w:p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  <w:t xml:space="preserve">ТЕХНИЧЕСКОЕ ЗАДАНИЕ  </w:t>
      </w:r>
    </w:p>
    <w:p>
      <w:pPr>
        <w:pStyle w:val="NormalWeb"/>
        <w:jc w:val="center"/>
        <w:rPr>
          <w:b/>
          <w:color w:val="000000"/>
        </w:rPr>
      </w:pPr>
      <w:r>
        <w:rPr>
          <w:b/>
          <w:color w:val="000000"/>
        </w:rPr>
      </w:r>
    </w:p>
    <w:p>
      <w:pPr>
        <w:pStyle w:val="ListParagraph"/>
        <w:numPr>
          <w:ilvl w:val="0"/>
          <w:numId w:val="1"/>
        </w:numPr>
        <w:ind w:hanging="0" w:left="0"/>
        <w:jc w:val="both"/>
        <w:rPr>
          <w:b/>
        </w:rPr>
      </w:pPr>
      <w:r>
        <w:rPr>
          <w:b/>
        </w:rPr>
        <w:t>ОБЩИЕ СВЕДЕНИЯ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  <w:t>В настоящем техническом задании описаны требования, предъявляемые к системе «Контур.Экстерн» (далее − Продукт).</w:t>
      </w:r>
    </w:p>
    <w:p>
      <w:pPr>
        <w:pStyle w:val="NormalWeb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Предоставление эквивалента недопустимо из-за уже затраченных средств заказчика на внедрение, сопровождение и обучение сотрудников работе в </w:t>
      </w:r>
      <w:r>
        <w:rPr>
          <w:sz w:val="26"/>
          <w:szCs w:val="26"/>
        </w:rPr>
        <w:t>Продукт</w:t>
      </w:r>
      <w:r>
        <w:rPr>
          <w:color w:val="000000"/>
          <w:sz w:val="26"/>
          <w:szCs w:val="26"/>
        </w:rPr>
        <w:t>е.</w:t>
      </w:r>
    </w:p>
    <w:p>
      <w:pPr>
        <w:pStyle w:val="NormalWeb"/>
        <w:numPr>
          <w:ilvl w:val="0"/>
          <w:numId w:val="1"/>
        </w:numPr>
        <w:ind w:hanging="0" w:left="0"/>
        <w:jc w:val="both"/>
        <w:rPr>
          <w:color w:val="000000"/>
        </w:rPr>
      </w:pPr>
      <w:r>
        <w:rPr>
          <w:b/>
          <w:color w:val="000000"/>
          <w:sz w:val="26"/>
          <w:szCs w:val="26"/>
        </w:rPr>
        <w:t xml:space="preserve">ТРЕБОВАНИЯ, ПРЕДЪЯВЛЯЕМЫЕ К </w:t>
      </w:r>
      <w:r>
        <w:rPr>
          <w:b/>
          <w:color w:val="000000"/>
        </w:rPr>
        <w:t>ПРОДУКТУ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2.1. Продукт должен представлять собой защищенную телекоммуникационную систему с функциями по формированию и передачи отчетности в контролирующие органы, а также включать в себя иные сервисы, удовлетворяющие нижеследующим требованиям настоящего технического задания.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2.2. Формирование и передача отчётности в контролирующие органы должны отвечать следующим критериям: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2.2.1. ФНС</w:t>
      </w:r>
    </w:p>
    <w:p>
      <w:pPr>
        <w:pStyle w:val="NormalWeb"/>
        <w:numPr>
          <w:ilvl w:val="0"/>
          <w:numId w:val="2"/>
        </w:numPr>
        <w:tabs>
          <w:tab w:val="clear" w:pos="708"/>
          <w:tab w:val="left" w:pos="567" w:leader="none"/>
          <w:tab w:val="left" w:pos="1276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формирования отчетности в веб-интерфейсе в режиме онлайн в актуальном формате;</w:t>
      </w:r>
    </w:p>
    <w:p>
      <w:pPr>
        <w:pStyle w:val="NormalWeb"/>
        <w:numPr>
          <w:ilvl w:val="0"/>
          <w:numId w:val="2"/>
        </w:numPr>
        <w:tabs>
          <w:tab w:val="clear" w:pos="708"/>
          <w:tab w:val="left" w:pos="567" w:leader="none"/>
          <w:tab w:val="left" w:pos="1276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обязательной проверки сформированной отчётности на соответствие действующему формату;</w:t>
      </w:r>
    </w:p>
    <w:p>
      <w:pPr>
        <w:pStyle w:val="NormalWeb"/>
        <w:numPr>
          <w:ilvl w:val="0"/>
          <w:numId w:val="2"/>
        </w:numPr>
        <w:tabs>
          <w:tab w:val="clear" w:pos="708"/>
          <w:tab w:val="left" w:pos="567" w:leader="none"/>
          <w:tab w:val="left" w:pos="1276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проверки отчётности, сформированной любой другой программой для ЭВМ, на соответствие действующему формату;</w:t>
      </w:r>
    </w:p>
    <w:p>
      <w:pPr>
        <w:pStyle w:val="NormalWeb"/>
        <w:numPr>
          <w:ilvl w:val="0"/>
          <w:numId w:val="2"/>
        </w:numPr>
        <w:tabs>
          <w:tab w:val="clear" w:pos="708"/>
          <w:tab w:val="left" w:pos="567" w:leader="none"/>
          <w:tab w:val="left" w:pos="1276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отправки отчетности, сформированной как в Продукте, так и в любой другой программе для ЭВМ, по телекоммуникационным каналам связи в соответствии с порядком, установленным Приказ ФНС России от 31.07.2014 № ММВ-7-6/398@ «Об утверждении Методических рекомендаций по организации электронного документооборота при представлении налоговых деклараций (расчетов) в электронной форме по телекоммуникационным каналам связи»;</w:t>
      </w:r>
    </w:p>
    <w:p>
      <w:pPr>
        <w:pStyle w:val="NormalWeb"/>
        <w:numPr>
          <w:ilvl w:val="0"/>
          <w:numId w:val="2"/>
        </w:numPr>
        <w:tabs>
          <w:tab w:val="clear" w:pos="708"/>
          <w:tab w:val="left" w:pos="567" w:leader="none"/>
          <w:tab w:val="left" w:pos="1276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 xml:space="preserve">возможность делать запросы на получение различных справок и выписок в электронном виде (информационное обслуживание налогоплательщиков </w:t>
      </w:r>
      <w:r>
        <w:rPr>
          <w:rFonts w:eastAsia="Symbol" w:cs="Symbol" w:ascii="Symbol" w:hAnsi="Symbol"/>
          <w:color w:val="000000"/>
        </w:rPr>
        <w:sym w:font="Symbol" w:char="f02d"/>
      </w:r>
      <w:r>
        <w:rPr>
          <w:color w:val="000000"/>
        </w:rPr>
        <w:t xml:space="preserve"> далее ИОН);</w:t>
      </w:r>
    </w:p>
    <w:p>
      <w:pPr>
        <w:pStyle w:val="NormalWeb"/>
        <w:numPr>
          <w:ilvl w:val="0"/>
          <w:numId w:val="2"/>
        </w:numPr>
        <w:tabs>
          <w:tab w:val="clear" w:pos="708"/>
          <w:tab w:val="left" w:pos="567" w:leader="none"/>
          <w:tab w:val="left" w:pos="1276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получения справочной информации и нормативных документов по заполнению форм налоговой отчетности;</w:t>
      </w:r>
    </w:p>
    <w:p>
      <w:pPr>
        <w:pStyle w:val="NormalWeb"/>
        <w:numPr>
          <w:ilvl w:val="0"/>
          <w:numId w:val="2"/>
        </w:numPr>
        <w:tabs>
          <w:tab w:val="clear" w:pos="708"/>
          <w:tab w:val="left" w:pos="567" w:leader="none"/>
          <w:tab w:val="left" w:pos="1276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получения требований от ФНС;</w:t>
      </w:r>
    </w:p>
    <w:p>
      <w:pPr>
        <w:pStyle w:val="NormalWeb"/>
        <w:numPr>
          <w:ilvl w:val="0"/>
          <w:numId w:val="2"/>
        </w:numPr>
        <w:tabs>
          <w:tab w:val="clear" w:pos="708"/>
          <w:tab w:val="left" w:pos="567" w:leader="none"/>
          <w:tab w:val="left" w:pos="1276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массово загружать готовые отчеты и массово отправлять их в ФНС;</w:t>
      </w:r>
    </w:p>
    <w:p>
      <w:pPr>
        <w:pStyle w:val="NormalWeb"/>
        <w:numPr>
          <w:ilvl w:val="0"/>
          <w:numId w:val="2"/>
        </w:numPr>
        <w:tabs>
          <w:tab w:val="clear" w:pos="708"/>
          <w:tab w:val="left" w:pos="567" w:leader="none"/>
          <w:tab w:val="left" w:pos="1276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получения информации о количестве счетов-фактур с расхождениями в сделках с контрагентами после формирования декларации по НДС.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2.2.2. СФР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/>
      </w:pPr>
      <w:r>
        <w:rPr/>
        <w:t>возможность формирования отчетности в режиме онлайн в актуальном формате в веб-интерфейсе на серверной площадке, защищенной в соответствии с требованиями, установленными Федеральным законом РФ от 27.07.2006 № 152-ФЗ «О персональных данных»;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отправки отчетности, сформированной как в Системе, так и в любой другой программе для ЭВМ, по телекоммуникационным каналам связи;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формировать и просматривать перечень кадровых мероприятий, полученный на основе сформированной или переданной в Системе отчетности по форме ЕФС-1 (ранее − СЗВ-ТД);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формирования и передачи отчетности по форме ЕФС-1 (бывшие формы СЗВ-ТД, СЗВ-СТАЖ, ДСВ-З, СИоЗП, 4-ФСС);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формирования и передачи ПОВЭД, специальных социальных выплат;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отправки реестров листков нетрудоспособности и электронных листков нетрудоспособности;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документооборот по проактивным выплатам социальных пособий;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передачи корректирующей отчетности по формам, действовавшим до 2023 года (СЗВ-ТД, СЗВ-КОРР, 4-ФСС);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получение информации от СФР в электронном виде по телекоммуникационным каналам связи;</w:t>
      </w:r>
    </w:p>
    <w:p>
      <w:pPr>
        <w:pStyle w:val="NormalWeb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color w:val="000000"/>
        </w:rPr>
        <w:t>возможность массово загружать готовые отчеты и массово отправлять их в СФР;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567" w:leader="none"/>
        </w:tabs>
        <w:ind w:hanging="0" w:left="0"/>
        <w:jc w:val="both"/>
        <w:rPr>
          <w:color w:val="000000"/>
        </w:rPr>
      </w:pPr>
      <w:r>
        <w:rPr>
          <w:rFonts w:eastAsia="Calibri" w:eastAsiaTheme="minorHAnsi"/>
          <w:color w:val="000000"/>
        </w:rPr>
        <w:t>возможность получения информации от СФР в эл. виде о ФИО-СНИЛС сотрудников и расчетных счетах (информационное обслуживание страхователей – далее ИОС).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2.2.3. Росстат</w:t>
      </w:r>
    </w:p>
    <w:p>
      <w:pPr>
        <w:pStyle w:val="NormalWeb"/>
        <w:numPr>
          <w:ilvl w:val="0"/>
          <w:numId w:val="4"/>
        </w:numPr>
        <w:ind w:hanging="0" w:left="0"/>
        <w:jc w:val="both"/>
        <w:rPr>
          <w:color w:val="000000"/>
        </w:rPr>
      </w:pPr>
      <w:r>
        <w:rPr>
          <w:color w:val="000000"/>
        </w:rPr>
        <w:t>возможность подготовки форм статистической отчетности непосредственно в Продукте;</w:t>
      </w:r>
    </w:p>
    <w:p>
      <w:pPr>
        <w:pStyle w:val="NormalWeb"/>
        <w:numPr>
          <w:ilvl w:val="0"/>
          <w:numId w:val="4"/>
        </w:numPr>
        <w:ind w:hanging="0" w:left="0"/>
        <w:jc w:val="both"/>
        <w:rPr>
          <w:color w:val="000000"/>
        </w:rPr>
      </w:pPr>
      <w:r>
        <w:rPr>
          <w:color w:val="000000"/>
        </w:rPr>
        <w:t>возможность обязательной проверки сформированной отчётности на соответствие действующему формату;</w:t>
      </w:r>
    </w:p>
    <w:p>
      <w:pPr>
        <w:pStyle w:val="NormalWeb"/>
        <w:numPr>
          <w:ilvl w:val="0"/>
          <w:numId w:val="4"/>
        </w:numPr>
        <w:ind w:hanging="0" w:left="0"/>
        <w:jc w:val="both"/>
        <w:rPr>
          <w:color w:val="000000"/>
        </w:rPr>
      </w:pPr>
      <w:r>
        <w:rPr>
          <w:color w:val="000000"/>
        </w:rPr>
        <w:t>возможность проверки отчётности, сформированной любой другой программой для ЭВМ, на соответствие действующему формату;</w:t>
      </w:r>
    </w:p>
    <w:p>
      <w:pPr>
        <w:pStyle w:val="NormalWeb"/>
        <w:numPr>
          <w:ilvl w:val="0"/>
          <w:numId w:val="4"/>
        </w:numPr>
        <w:ind w:hanging="0" w:left="0"/>
        <w:jc w:val="both"/>
        <w:rPr>
          <w:color w:val="000000"/>
        </w:rPr>
      </w:pPr>
      <w:r>
        <w:rPr>
          <w:color w:val="000000"/>
        </w:rPr>
        <w:t>возможность отправки отчетности, сформированной как в Пррдукте, так и в любой другой программе для ЭВМ, по телекоммуникационным каналам связи;</w:t>
      </w:r>
    </w:p>
    <w:p>
      <w:pPr>
        <w:pStyle w:val="NormalWeb"/>
        <w:numPr>
          <w:ilvl w:val="0"/>
          <w:numId w:val="4"/>
        </w:numPr>
        <w:ind w:hanging="0" w:left="0"/>
        <w:jc w:val="both"/>
        <w:rPr>
          <w:color w:val="000000"/>
        </w:rPr>
      </w:pPr>
      <w:r>
        <w:rPr>
          <w:color w:val="000000"/>
        </w:rPr>
        <w:t>возможность массово загружать готовые отчеты и массово отправлять их в Росстат.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2.3. Своевременное (в соответствии с последними изменениями законодательства) обновление форматов подготовки электронной отчетности и встроенных проверочных программ на сервере Продукта.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2.4. Должна быть возможность получения рассылок из контролирующих органов.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2.5. Доступ к веб-интерфейсу системы должен осуществляться по шифрованному каналу связи, исключающему доступ третьих лиц.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2.6. Продукт должен позволять подписание передаваемой отчётности электронными подписями сторон электронного документооборота.</w:t>
      </w:r>
    </w:p>
    <w:p>
      <w:pPr>
        <w:pStyle w:val="NormalWeb"/>
        <w:jc w:val="both"/>
        <w:rPr/>
      </w:pPr>
      <w:r>
        <w:rPr>
          <w:color w:val="000000"/>
        </w:rPr>
        <w:t xml:space="preserve">2.7. Продукт должен позволять подписание передаваемой отчётности электронными подписями сторон электронного документооборота, </w:t>
      </w:r>
      <w:r>
        <w:rPr/>
        <w:t xml:space="preserve">в том числе с возможностью использования машиночитаемой доверенности (далее </w:t>
      </w:r>
      <w:r>
        <w:rPr>
          <w:rFonts w:eastAsia="Symbol" w:cs="Symbol" w:ascii="Symbol" w:hAnsi="Symbol"/>
        </w:rPr>
        <w:sym w:font="Symbol" w:char="f02d"/>
      </w:r>
      <w:r>
        <w:rPr/>
        <w:t xml:space="preserve"> МЧД).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2.8. В Продукте должно осуществляться хранение всех созданных и/или загруженных в Системе МЧД Абонента.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2.9. Все передаваемые сторонами документооборота документы должны дополнительно шифроваться средствами криптографической защиты информации, сертифицированными ФСБ России.</w:t>
      </w:r>
    </w:p>
    <w:p>
      <w:pPr>
        <w:pStyle w:val="NormalWeb"/>
        <w:jc w:val="both"/>
        <w:rPr>
          <w:color w:val="000000"/>
        </w:rPr>
      </w:pPr>
      <w:r>
        <w:rPr>
          <w:color w:val="000000"/>
        </w:rPr>
        <w:t>2.10. Возможность вести юридически значимую переписку с контролирующими органами по телекоммуникационным каналам связи.</w:t>
      </w:r>
    </w:p>
    <w:p>
      <w:pPr>
        <w:pStyle w:val="NormalWeb"/>
        <w:jc w:val="both"/>
        <w:rPr/>
      </w:pPr>
      <w:r>
        <w:rPr/>
        <w:t xml:space="preserve">2.11. Должна быть возможность получения информации о состоянии Единого налогового счета (далее </w:t>
      </w:r>
      <w:r>
        <w:rPr>
          <w:rFonts w:eastAsia="Symbol" w:cs="Symbol" w:ascii="Symbol" w:hAnsi="Symbol"/>
        </w:rPr>
        <w:sym w:font="Symbol" w:char="f02d"/>
      </w:r>
      <w:r>
        <w:rPr/>
        <w:t xml:space="preserve"> ЕНС) в автоматическом режиме (автосверка ЕНС). </w:t>
      </w:r>
    </w:p>
    <w:p>
      <w:pPr>
        <w:pStyle w:val="NormalWeb"/>
        <w:jc w:val="both"/>
        <w:rPr/>
      </w:pPr>
      <w:r>
        <w:rPr/>
        <w:t xml:space="preserve">Данные о состоянии ЕНС могут быть получены следующими способами: </w:t>
      </w:r>
    </w:p>
    <w:p>
      <w:pPr>
        <w:pStyle w:val="ListParagraph"/>
        <w:numPr>
          <w:ilvl w:val="0"/>
          <w:numId w:val="6"/>
        </w:numPr>
        <w:ind w:hanging="0" w:left="0"/>
        <w:jc w:val="both"/>
        <w:rPr/>
      </w:pPr>
      <w:r>
        <w:rPr/>
        <w:t>направлением запросов ИОН в ИФНС;</w:t>
      </w:r>
    </w:p>
    <w:p>
      <w:pPr>
        <w:pStyle w:val="NormalWeb"/>
        <w:numPr>
          <w:ilvl w:val="0"/>
          <w:numId w:val="5"/>
        </w:numPr>
        <w:ind w:hanging="0" w:left="0"/>
        <w:jc w:val="both"/>
        <w:rPr>
          <w:color w:val="000000"/>
        </w:rPr>
      </w:pPr>
      <w:r>
        <w:rPr/>
        <w:t>интеграцией с ФНС (при этом Заказчик представляет согласие Исполнителю на раскрытие Оператору налоговой тайны по коду 21001).</w:t>
      </w:r>
    </w:p>
    <w:p>
      <w:pPr>
        <w:pStyle w:val="NormalWeb"/>
        <w:jc w:val="both"/>
        <w:rPr/>
      </w:pPr>
      <w:r>
        <w:rPr>
          <w:color w:val="000000"/>
        </w:rPr>
        <w:t xml:space="preserve">2.12. </w:t>
      </w:r>
      <w:r>
        <w:rPr/>
        <w:t>Автоматическая сверка данных в отчетах за разные отчетные периоды или данных в декларациях разного типа.</w:t>
      </w:r>
    </w:p>
    <w:p>
      <w:pPr>
        <w:pStyle w:val="NormalWeb"/>
        <w:jc w:val="both"/>
        <w:rPr/>
      </w:pPr>
      <w:r>
        <w:rPr/>
        <w:t xml:space="preserve">2.13. Доступ к Продукту должен быть предоставлен 1 (одному) пользователю Заказчика. </w:t>
      </w:r>
    </w:p>
    <w:p>
      <w:pPr>
        <w:pStyle w:val="NormalWeb"/>
        <w:tabs>
          <w:tab w:val="clear" w:pos="708"/>
          <w:tab w:val="left" w:pos="284" w:leader="none"/>
        </w:tabs>
        <w:spacing w:lineRule="auto" w:line="276"/>
        <w:jc w:val="both"/>
        <w:rPr/>
      </w:pPr>
      <w:r>
        <w:rPr/>
        <w:t xml:space="preserve">2.14. Должна быть предусмотрена возможность получать информацию, отправляемую ежедневно на электронную почту, указанную в Продукте Заказчиком, которая включает:  </w:t>
      </w:r>
    </w:p>
    <w:p>
      <w:pPr>
        <w:pStyle w:val="NormalWeb"/>
        <w:tabs>
          <w:tab w:val="clear" w:pos="708"/>
          <w:tab w:val="left" w:pos="284" w:leader="none"/>
        </w:tabs>
        <w:spacing w:lineRule="auto" w:line="276"/>
        <w:jc w:val="both"/>
        <w:rPr/>
      </w:pPr>
      <w:r>
        <w:rPr/>
        <w:t>- просроченные за последние 2 дня задачи по требованиям и отчетам;</w:t>
      </w:r>
    </w:p>
    <w:p>
      <w:pPr>
        <w:pStyle w:val="NormalWeb"/>
        <w:tabs>
          <w:tab w:val="clear" w:pos="708"/>
          <w:tab w:val="left" w:pos="284" w:leader="none"/>
        </w:tabs>
        <w:spacing w:lineRule="auto" w:line="276"/>
        <w:jc w:val="both"/>
        <w:rPr/>
      </w:pPr>
      <w:r>
        <w:rPr/>
        <w:t>- задачи по отчетам и требованиям- со сроком исполнения на текущий день;</w:t>
      </w:r>
    </w:p>
    <w:p>
      <w:pPr>
        <w:pStyle w:val="NormalWeb"/>
        <w:jc w:val="both"/>
        <w:rPr/>
      </w:pPr>
      <w:r>
        <w:rPr/>
        <w:t>- задачи по отчетам со сроком исполнения в ближайшие 7 дней и задачи по требованиям со сроком исполнения в ближайшие 3 дня.</w:t>
      </w:r>
    </w:p>
    <w:p>
      <w:pPr>
        <w:pStyle w:val="NormalWeb"/>
        <w:jc w:val="both"/>
        <w:rPr/>
      </w:pPr>
      <w:r>
        <w:rPr/>
        <w:t>2.15. Должен быть настроен режим работы Заказчика в Продукте, при котором:</w:t>
      </w:r>
    </w:p>
    <w:p>
      <w:pPr>
        <w:pStyle w:val="NormalWeb"/>
        <w:jc w:val="both"/>
        <w:rPr/>
      </w:pPr>
      <w:r>
        <w:rPr>
          <w:color w:val="000000"/>
        </w:rPr>
        <w:t xml:space="preserve">− </w:t>
      </w:r>
      <w:r>
        <w:rPr/>
        <w:t>Заказчик имеет возможность вести документооборот 50 (пятидесяти) организаций с контролирующими органами;</w:t>
      </w:r>
    </w:p>
    <w:p>
      <w:pPr>
        <w:pStyle w:val="NormalWeb"/>
        <w:jc w:val="both"/>
        <w:rPr/>
      </w:pPr>
      <w:r>
        <w:rPr>
          <w:color w:val="000000"/>
        </w:rPr>
        <w:t xml:space="preserve">− </w:t>
      </w:r>
      <w:r>
        <w:rPr/>
        <w:t>для подписи документов Заказчика и обслуживаемых организаций используется СКПЭП Пользователя данного Заказчика.</w:t>
      </w:r>
    </w:p>
    <w:p>
      <w:pPr>
        <w:pStyle w:val="NormalWeb"/>
        <w:jc w:val="both"/>
        <w:rPr/>
      </w:pPr>
      <w:r>
        <w:rPr/>
      </w:r>
    </w:p>
    <w:p>
      <w:pPr>
        <w:pStyle w:val="NormalWeb"/>
        <w:numPr>
          <w:ilvl w:val="0"/>
          <w:numId w:val="1"/>
        </w:numPr>
        <w:jc w:val="both"/>
        <w:rPr>
          <w:b/>
          <w:color w:val="000000"/>
        </w:rPr>
      </w:pPr>
      <w:r>
        <w:rPr>
          <w:b/>
          <w:color w:val="000000"/>
        </w:rPr>
        <w:t>ТРЕБОВАНИЯ, ПРЕДЪЯВЛЯЕМЫЕ К АБОНЕНТСКОМУ ОБСЛУЖИВАНИЮ</w:t>
      </w:r>
    </w:p>
    <w:p>
      <w:pPr>
        <w:pStyle w:val="NormalWeb"/>
        <w:jc w:val="both"/>
        <w:rPr>
          <w:b/>
          <w:color w:val="000000"/>
        </w:rPr>
      </w:pPr>
      <w:r>
        <w:rPr>
          <w:color w:val="000000"/>
        </w:rPr>
        <w:t>3.1. Техническая поддержка пользователей Продукта в виде консультаций по телефону в режиме 24 часа в сутки 7 дней в неделю.</w:t>
      </w:r>
    </w:p>
    <w:p>
      <w:pPr>
        <w:pStyle w:val="NormalWeb"/>
        <w:jc w:val="both"/>
        <w:rPr>
          <w:b/>
          <w:color w:val="000000"/>
        </w:rPr>
      </w:pPr>
      <w:r>
        <w:rPr>
          <w:b/>
          <w:color w:val="000000"/>
        </w:rPr>
      </w:r>
    </w:p>
    <w:p>
      <w:pPr>
        <w:pStyle w:val="NormalWeb"/>
        <w:numPr>
          <w:ilvl w:val="0"/>
          <w:numId w:val="1"/>
        </w:numPr>
        <w:ind w:hanging="0" w:left="0"/>
        <w:jc w:val="both"/>
        <w:rPr>
          <w:b/>
          <w:color w:val="000000"/>
        </w:rPr>
      </w:pPr>
      <w:r>
        <w:rPr>
          <w:b/>
          <w:color w:val="000000"/>
        </w:rPr>
        <w:t>ИСПОЛНИТЕЛЬ ОБЯЗАН:</w:t>
      </w:r>
    </w:p>
    <w:p>
      <w:pPr>
        <w:pStyle w:val="ListParagraph"/>
        <w:ind w:left="0"/>
        <w:jc w:val="both"/>
        <w:rPr/>
      </w:pPr>
      <w:r>
        <w:rPr/>
        <w:t>4.1. Обеспечить надлежащую передачу прав (простых (неисключительных) лицензий) на использование результатов интеллектуальной деятельности – программ для ЭВМ: Продукта и СКЗИ «КриптоПро CSP» − путем заключения с Заказчиком лицензионного и сублицензионного договоров</w:t>
      </w:r>
      <w:r>
        <w:rPr>
          <w:color w:val="000000"/>
        </w:rPr>
        <w:t>.</w:t>
      </w:r>
    </w:p>
    <w:p>
      <w:pPr>
        <w:pStyle w:val="ListParagraph"/>
        <w:ind w:left="0"/>
        <w:jc w:val="both"/>
        <w:rPr/>
      </w:pPr>
      <w:r>
        <w:rPr/>
        <w:t>4.2. Надлежащим образом оказать услуги абонентского обслуживания в соответствии с требованиями, установленными разделом 3 настоящего Технического задания.</w:t>
      </w:r>
    </w:p>
    <w:p>
      <w:pPr>
        <w:pStyle w:val="ListParagraph"/>
        <w:keepNext w:val="true"/>
        <w:ind w:left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NormalWeb"/>
        <w:numPr>
          <w:ilvl w:val="0"/>
          <w:numId w:val="1"/>
        </w:numPr>
        <w:ind w:hanging="0" w:left="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МЕСТО ПРЕДОСТАВЛЕНИЯ ДОСТУПА К ПРОДУКТУ</w:t>
      </w:r>
    </w:p>
    <w:p>
      <w:pPr>
        <w:pStyle w:val="NormalWeb"/>
        <w:jc w:val="both"/>
        <w:rPr>
          <w:b/>
        </w:rPr>
      </w:pPr>
      <w:r>
        <w:rPr>
          <w:color w:val="000000"/>
        </w:rPr>
        <w:t xml:space="preserve">5.1. Исполнитель предоставляет доступ к Продукту на рабочих местах Заказчика, размещенных по адресу: </w:t>
      </w:r>
      <w:r>
        <w:rPr>
          <w:b/>
        </w:rPr>
        <w:t>614002, г.Пермь, ул.Ленина, д.66/2</w:t>
      </w:r>
    </w:p>
    <w:p>
      <w:pPr>
        <w:pStyle w:val="NormalWeb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NormalWeb"/>
        <w:numPr>
          <w:ilvl w:val="0"/>
          <w:numId w:val="1"/>
        </w:numPr>
        <w:ind w:hanging="0" w:left="0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СРОКИ ПРЕДОСТАВЛЕНИЯ ДОСТУПА К ПРОДУКТУ</w:t>
      </w:r>
    </w:p>
    <w:p>
      <w:pPr>
        <w:pStyle w:val="NormalWeb"/>
        <w:jc w:val="both"/>
        <w:rPr>
          <w:b/>
          <w:i/>
          <w:i/>
          <w:iCs/>
          <w:color w:val="FF0000"/>
        </w:rPr>
      </w:pPr>
      <w:r>
        <w:rPr>
          <w:color w:val="000000"/>
        </w:rPr>
        <w:t xml:space="preserve">6.1. Исполнитель предоставляет доступ Заказчику к Продукту </w:t>
      </w:r>
      <w:r>
        <w:rPr>
          <w:b/>
          <w:color w:val="000000"/>
        </w:rPr>
        <w:t xml:space="preserve">с 20.01.2027г.   </w:t>
        <w:br/>
        <w:t>Срок действия лицензии – 1 год.</w:t>
      </w:r>
    </w:p>
    <w:p>
      <w:pPr>
        <w:pStyle w:val="Normal"/>
        <w:jc w:val="right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  <w:t xml:space="preserve">Приложение № 1 </w:t>
      </w:r>
    </w:p>
    <w:p>
      <w:pPr>
        <w:pStyle w:val="Normal"/>
        <w:ind w:left="360"/>
        <w:jc w:val="right"/>
        <w:rPr/>
      </w:pPr>
      <w:r>
        <w:rPr/>
        <w:t>к Техническому заданию</w:t>
      </w:r>
    </w:p>
    <w:p>
      <w:pPr>
        <w:pStyle w:val="Normal"/>
        <w:ind w:left="360"/>
        <w:jc w:val="both"/>
        <w:rPr/>
      </w:pPr>
      <w:r>
        <w:rPr/>
      </w:r>
    </w:p>
    <w:p>
      <w:pPr>
        <w:pStyle w:val="BodyTextIndent"/>
        <w:keepNext w:val="true"/>
        <w:ind w:left="578"/>
        <w:jc w:val="center"/>
        <w:rPr>
          <w:sz w:val="24"/>
          <w:szCs w:val="24"/>
          <w:lang w:val="en-US"/>
        </w:rPr>
      </w:pPr>
      <w:r>
        <w:rPr>
          <w:sz w:val="24"/>
          <w:szCs w:val="24"/>
        </w:rPr>
        <w:t>Спецификация</w:t>
      </w:r>
    </w:p>
    <w:tbl>
      <w:tblPr>
        <w:tblW w:w="9575" w:type="dxa"/>
        <w:jc w:val="left"/>
        <w:tblInd w:w="56" w:type="dxa"/>
        <w:tblLayout w:type="fixed"/>
        <w:tblCellMar>
          <w:top w:w="28" w:type="dxa"/>
          <w:left w:w="56" w:type="dxa"/>
          <w:bottom w:w="28" w:type="dxa"/>
          <w:right w:w="56" w:type="dxa"/>
        </w:tblCellMar>
        <w:tblLook w:noVBand="0" w:val="0000" w:noHBand="0" w:lastColumn="0" w:firstColumn="0" w:lastRow="0" w:firstRow="0"/>
      </w:tblPr>
      <w:tblGrid>
        <w:gridCol w:w="396"/>
        <w:gridCol w:w="7336"/>
        <w:gridCol w:w="709"/>
        <w:gridCol w:w="1133"/>
      </w:tblGrid>
      <w:tr>
        <w:trPr>
          <w:tblHeader w:val="true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№</w:t>
            </w:r>
          </w:p>
        </w:tc>
        <w:tc>
          <w:tcPr>
            <w:tcW w:w="7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Ед.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Кол-во</w:t>
            </w:r>
          </w:p>
        </w:tc>
      </w:tr>
      <w:tr>
        <w:trPr/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Право использования программы для ЭВМ "Контур.Экстерн" в режиме "Обслуживающая бухгалтерия" по тарифному плану "Бюджетная организация" на 1 год, 1+49 абонентов, с применением встроенных в сертификат/ключевой контейнер СКЗИ "КриптоПро CSP"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</w:tr>
      <w:tr>
        <w:trPr>
          <w:trHeight w:val="630" w:hRule="atLeast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33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</w:rPr>
            </w:pPr>
            <w:r>
              <w:rPr>
                <w:color w:val="000000"/>
              </w:rPr>
              <w:t>Услуги по сопровождению программы для ЭВМ "Контур.Экстерн" (техническая поддержка в виде абонентского обслуживания) в режиме "Обслуживающая бухгалтерия" по тарифному плану "Бюджетная организация", 1+49 абонентов, на 1 год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</w:rPr>
              <w:t>1,00</w:t>
            </w:r>
          </w:p>
        </w:tc>
      </w:tr>
    </w:tbl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sectPr>
      <w:type w:val="nextPage"/>
      <w:pgSz w:w="11906" w:h="16838"/>
      <w:pgMar w:left="1701" w:right="851" w:gutter="0" w:header="0" w:top="840" w:footer="0" w:bottom="9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  <w:rPr>
        <w:b w:val="fals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11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302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164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386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08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47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692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554" w:hanging="1800"/>
      </w:pPr>
      <w:rPr/>
    </w:lvl>
  </w:abstractNum>
  <w:abstractNum w:abstractNumId="2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f48a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 w:customStyle="1">
    <w:name w:val="Footnote Text Char"/>
    <w:uiPriority w:val="99"/>
    <w:qFormat/>
    <w:rPr>
      <w:sz w:val="18"/>
    </w:rPr>
  </w:style>
  <w:style w:type="character" w:styleId="Style10" w:customStyle="1">
    <w:name w:val="Текст концевой сноски Знак"/>
    <w:uiPriority w:val="99"/>
    <w:qFormat/>
    <w:rPr>
      <w:sz w:val="20"/>
    </w:rPr>
  </w:style>
  <w:style w:type="character" w:styleId="Style11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2" w:customStyle="1">
    <w:name w:val="Текст сноски Знак"/>
    <w:basedOn w:val="DefaultParagraphFont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3">
    <w:name w:val="Символ сноски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eastAsia="Times New Roman" w:cs="Segoe UI"/>
      <w:sz w:val="18"/>
      <w:szCs w:val="18"/>
      <w:lang w:eastAsia="ru-RU"/>
    </w:rPr>
  </w:style>
  <w:style w:type="character" w:styleId="Style15" w:customStyle="1">
    <w:name w:val="Абзац списка Знак"/>
    <w:link w:val="ListParagraph"/>
    <w:uiPriority w:val="34"/>
    <w:qFormat/>
    <w:rsid w:val="00df48a1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Основной текст с отступом Знак"/>
    <w:basedOn w:val="DefaultParagraphFont"/>
    <w:semiHidden/>
    <w:qFormat/>
    <w:rsid w:val="007b682a"/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link w:val="Style15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Caption1">
    <w:name w:val="caption1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EndnoteText">
    <w:name w:val="Endnote Text"/>
    <w:basedOn w:val="Normal"/>
    <w:link w:val="Style10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7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FootnoteText">
    <w:name w:val="Footnote Text"/>
    <w:basedOn w:val="Normal"/>
    <w:link w:val="Style12"/>
    <w:semiHidden/>
    <w:pPr/>
    <w:rPr>
      <w:sz w:val="20"/>
      <w:szCs w:val="20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df48a1"/>
    <w:pPr/>
    <w:rPr>
      <w:rFonts w:eastAsia="Calibri"/>
    </w:rPr>
  </w:style>
  <w:style w:type="paragraph" w:styleId="Style51" w:customStyle="1">
    <w:name w:val="Style5"/>
    <w:basedOn w:val="Normal"/>
    <w:uiPriority w:val="99"/>
    <w:qFormat/>
    <w:rsid w:val="00df48a1"/>
    <w:pPr>
      <w:widowControl w:val="false"/>
      <w:spacing w:lineRule="exact" w:line="281"/>
      <w:jc w:val="both"/>
    </w:pPr>
    <w:rPr>
      <w:rFonts w:eastAsia="Arial" w:eastAsiaTheme="minorEastAsia"/>
    </w:rPr>
  </w:style>
  <w:style w:type="paragraph" w:styleId="BodyTextIndent">
    <w:name w:val="Body Text Indent"/>
    <w:basedOn w:val="Normal"/>
    <w:link w:val="Style16"/>
    <w:semiHidden/>
    <w:unhideWhenUsed/>
    <w:rsid w:val="007b682a"/>
    <w:pPr>
      <w:spacing w:before="0" w:after="120"/>
      <w:ind w:left="283"/>
    </w:pPr>
    <w:rPr>
      <w:sz w:val="20"/>
      <w:szCs w:val="20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lang w:eastAsia="ru-RU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A8BC7-732C-4A1E-A38A-F8F7929D4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Application>LibreOffice/7.6.7.2$Linux_X86_64 LibreOffice_project/60$Build-2</Application>
  <AppVersion>15.0000</AppVersion>
  <Pages>3</Pages>
  <Words>976</Words>
  <Characters>6838</Characters>
  <CharactersWithSpaces>7717</CharactersWithSpaces>
  <Paragraphs>82</Paragraphs>
  <Company>Kraftway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2023-02-07T10:50:00Z</dcterms:created>
  <dc:creator>Шипицына_НН</dc:creator>
  <dc:description/>
  <dc:language>ru-RU</dc:language>
  <cp:lastModifiedBy/>
  <cp:lastPrinted>2025-11-19T11:26:00Z</cp:lastPrinted>
  <dcterms:modified xsi:type="dcterms:W3CDTF">2026-09-14T14:34:55Z</dcterms:modified>
  <cp:revision>22</cp:revision>
  <dc:subject>Приложение 5 к Порядку</dc:subject>
  <dc:title>Приложение 5 к Порядку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