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2.jpeg" ContentType="image/jpeg"/>
  <Override PartName="/word/media/image3.jpeg" ContentType="image/jpeg"/>
  <Override PartName="/word/media/image1.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ind w:hanging="0"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Техническое</w:t>
      </w:r>
      <w:r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задание.</w:t>
      </w:r>
    </w:p>
    <w:p>
      <w:pPr>
        <w:pStyle w:val="BodyText"/>
        <w:spacing w:before="30" w:after="0"/>
        <w:rPr>
          <w:rFonts w:ascii="Times New Roman" w:hAnsi="Times New Roman" w:cs="Times New Roman"/>
          <w:b/>
        </w:rPr>
      </w:pPr>
      <w:r>
        <w:rPr>
          <w:rFonts w:cs="Times New Roman"/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81" w:leader="none"/>
        </w:tabs>
        <w:spacing w:lineRule="auto" w:line="252" w:before="0" w:after="0"/>
        <w:ind w:firstLine="1069" w:left="141" w:right="8"/>
        <w:contextualSpacing/>
        <w:jc w:val="both"/>
        <w:rPr>
          <w:rFonts w:ascii="Times New Roman" w:hAnsi="Times New Roman" w:cs="Times New Roman"/>
          <w:sz w:val="26"/>
        </w:rPr>
      </w:pPr>
      <w:r>
        <w:rPr>
          <w:rFonts w:eastAsia="Times New Roman" w:cs="Times New Roman"/>
          <w:sz w:val="24"/>
          <w:szCs w:val="24"/>
        </w:rPr>
        <w:t>Наименование объекта закупки: Приобретение мебели и иных материально-технических средств (шкафа офисного, шкафа для одежды, тумбы низкой (шкаф).</w:t>
      </w:r>
    </w:p>
    <w:p>
      <w:pPr>
        <w:pStyle w:val="ListParagraph"/>
        <w:numPr>
          <w:ilvl w:val="0"/>
          <w:numId w:val="2"/>
        </w:numPr>
        <w:spacing w:lineRule="exact" w:line="298" w:before="0" w:after="0"/>
        <w:ind w:hanging="371" w:left="1581" w:right="0"/>
        <w:contextualSpacing/>
        <w:jc w:val="both"/>
        <w:rPr>
          <w:sz w:val="24"/>
          <w:szCs w:val="24"/>
          <w:lang w:val="ru-RU"/>
        </w:rPr>
      </w:pPr>
      <w:r>
        <w:rPr>
          <w:rFonts w:eastAsia="Times New Roman" w:cs="Times New Roman"/>
          <w:sz w:val="24"/>
          <w:szCs w:val="24"/>
        </w:rPr>
        <w:t>Место</w:t>
      </w:r>
      <w:r>
        <w:rPr>
          <w:rFonts w:eastAsia="Times New Roman" w:cs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поставки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товара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 w:cs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оказания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услуг: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Пермский</w:t>
      </w:r>
      <w:r>
        <w:rPr>
          <w:rFonts w:eastAsia="Times New Roman" w:cs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край,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г.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Пермь,</w:t>
      </w:r>
      <w:r>
        <w:rPr>
          <w:rFonts w:eastAsia="Times New Roman" w:cs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ул.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Ленина,</w:t>
      </w:r>
      <w:r>
        <w:rPr>
          <w:rFonts w:eastAsia="Times New Roman" w:cs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66/2, 3 этаж, </w:t>
      </w:r>
      <w:r>
        <w:rPr>
          <w:sz w:val="24"/>
          <w:szCs w:val="24"/>
          <w:lang w:val="ru-RU"/>
        </w:rPr>
        <w:t>с 8-30 до 17-30                                (по договоренности с Заказчиком).</w:t>
      </w:r>
    </w:p>
    <w:p>
      <w:pPr>
        <w:pStyle w:val="ListParagraph"/>
        <w:numPr>
          <w:ilvl w:val="0"/>
          <w:numId w:val="2"/>
        </w:numPr>
        <w:spacing w:lineRule="exact" w:line="298" w:before="0" w:after="0"/>
        <w:ind w:firstLine="1068" w:left="142" w:righ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/>
          <w:sz w:val="24"/>
          <w:szCs w:val="24"/>
        </w:rPr>
        <w:t>Сроки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условия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поставки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товара: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течение 1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рабочего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дня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после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заключения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государственного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контракта</w:t>
      </w:r>
      <w:r>
        <w:rPr>
          <w:rFonts w:eastAsia="Times New Roman" w:cs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поставщик направляет на согласование Заказчику не менее 5 коллекции моделей и цвета мебели </w:t>
      </w:r>
      <w:r>
        <w:rPr>
          <w:rFonts w:eastAsia="Times New Roman" w:cs="Times New Roman"/>
          <w:b/>
          <w:bCs/>
          <w:sz w:val="24"/>
          <w:szCs w:val="24"/>
          <w:highlight w:val="yellow"/>
          <w:u w:val="single"/>
        </w:rPr>
        <w:t>бизнес сегмента, мебель руководителя</w:t>
      </w:r>
      <w:r>
        <w:rPr>
          <w:rFonts w:eastAsia="Times New Roman" w:cs="Times New Roman"/>
          <w:sz w:val="24"/>
          <w:szCs w:val="24"/>
        </w:rPr>
        <w:t xml:space="preserve">. Поставка  и сборка мебели осуществляется не позднее 5 дней с момента заключения государственного контракта. Частичный разбор, вынос </w:t>
      </w:r>
      <w:r>
        <w:rPr>
          <w:sz w:val="24"/>
          <w:szCs w:val="24"/>
        </w:rPr>
        <w:t>старой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мебели 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складирование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производится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параллельно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сборкой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расстановкой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новой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мебели в указанное Заказчиком помещение.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81" w:leader="none"/>
        </w:tabs>
        <w:spacing w:lineRule="auto" w:line="252" w:before="0" w:after="0"/>
        <w:ind w:firstLine="1069" w:left="141" w:right="7"/>
        <w:contextualSpacing/>
        <w:jc w:val="both"/>
        <w:rPr>
          <w:rFonts w:ascii="Times New Roman" w:hAnsi="Times New Roman" w:cs="Times New Roman"/>
          <w:sz w:val="26"/>
          <w:highlight w:val="white"/>
        </w:rPr>
      </w:pPr>
      <w:r>
        <w:rPr>
          <w:rFonts w:eastAsia="Times New Roman" w:cs="Times New Roman"/>
          <w:sz w:val="24"/>
          <w:szCs w:val="24"/>
          <w:highlight w:val="white"/>
        </w:rPr>
        <w:t>Все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предметы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мебели,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поставляемые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Исполнителем,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составляют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единый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комплект,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объединенный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общей</w:t>
      </w:r>
      <w:r>
        <w:rPr>
          <w:rFonts w:eastAsia="Times New Roman" w:cs="Times New Roman"/>
          <w:spacing w:val="-13"/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</w:rPr>
        <w:t>стилистикой                     и цветовым решением.</w:t>
      </w:r>
    </w:p>
    <w:p>
      <w:pPr>
        <w:pStyle w:val="BodyText"/>
        <w:spacing w:lineRule="auto" w:line="252"/>
        <w:ind w:firstLine="1069" w:left="141" w:right="4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eastAsia="Times New Roman" w:cs="Times New Roman"/>
          <w:sz w:val="24"/>
          <w:szCs w:val="24"/>
        </w:rPr>
        <w:t>Поставка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сборка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мебели</w:t>
      </w:r>
      <w:r>
        <w:rPr>
          <w:rFonts w:eastAsia="Times New Roman" w:cs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осуществляется</w:t>
      </w:r>
      <w:r>
        <w:rPr>
          <w:rFonts w:eastAsia="Times New Roman" w:cs="Times New Roman"/>
          <w:spacing w:val="-10"/>
          <w:sz w:val="24"/>
          <w:szCs w:val="24"/>
        </w:rPr>
        <w:t xml:space="preserve"> с 08-30 до 17-30 </w:t>
      </w:r>
      <w:r>
        <w:rPr>
          <w:rFonts w:eastAsia="Times New Roman" w:cs="Times New Roman"/>
          <w:sz w:val="24"/>
          <w:szCs w:val="24"/>
        </w:rPr>
        <w:t>по местному времени Заказчика (в другое время по предварительному согласованию с Заказчиком).</w:t>
      </w:r>
    </w:p>
    <w:p>
      <w:pPr>
        <w:pStyle w:val="BodyText"/>
        <w:spacing w:lineRule="auto" w:line="252"/>
        <w:ind w:firstLine="1069" w:left="141" w:right="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Поставщик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осуществляет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доставку,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разгрузку,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сборку,</w:t>
      </w:r>
      <w:r>
        <w:rPr>
          <w:rFonts w:eastAsia="Times New Roman" w:cs="Times New Roman"/>
          <w:spacing w:val="-5"/>
          <w:sz w:val="24"/>
          <w:szCs w:val="24"/>
        </w:rPr>
        <w:t xml:space="preserve"> частичный разбор и </w:t>
      </w:r>
      <w:r>
        <w:rPr>
          <w:rFonts w:eastAsia="Times New Roman" w:cs="Times New Roman"/>
          <w:sz w:val="24"/>
          <w:szCs w:val="24"/>
        </w:rPr>
        <w:t>вынос,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складирование,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расстановку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счет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собственных сил и средств или привлечением третьих лиц за счет Поставщика.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81" w:leader="none"/>
        </w:tabs>
        <w:spacing w:lineRule="exact" w:line="298" w:before="0" w:after="34"/>
        <w:ind w:hanging="371" w:left="1581" w:right="0"/>
        <w:contextualSpacing/>
        <w:jc w:val="both"/>
        <w:rPr>
          <w:rFonts w:ascii="Times New Roman" w:hAnsi="Times New Roman" w:cs="Times New Roman"/>
          <w:sz w:val="26"/>
        </w:rPr>
      </w:pPr>
      <w:r>
        <w:rPr>
          <w:rFonts w:eastAsia="Times New Roman" w:cs="Times New Roman"/>
          <w:sz w:val="24"/>
          <w:szCs w:val="24"/>
        </w:rPr>
        <w:t>Наименование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оказываемых</w:t>
      </w:r>
      <w:r>
        <w:rPr>
          <w:rFonts w:eastAsia="Times New Roman" w:cs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услуг:</w:t>
      </w:r>
    </w:p>
    <w:tbl>
      <w:tblPr>
        <w:tblW w:w="14566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390"/>
        <w:gridCol w:w="2693"/>
        <w:gridCol w:w="3544"/>
        <w:gridCol w:w="7083"/>
      </w:tblGrid>
      <w:tr>
        <w:trPr>
          <w:trHeight w:val="389" w:hRule="atLeast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Технические характеристики товара</w:t>
            </w:r>
          </w:p>
        </w:tc>
      </w:tr>
      <w:tr>
        <w:trPr>
          <w:trHeight w:val="389" w:hRule="atLeast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Calibri" w:hAnsi="Calibri" w:eastAsia="Calibri" w:cs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Calibri" w:hAnsi="Calibri" w:eastAsia="Calibri" w:cs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Показатели с максимальными</w:t>
            </w:r>
          </w:p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и (или) минимальными значениями</w:t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US"/>
              </w:rPr>
              <w:t>Показатели, значения которых не могут изменяться</w:t>
            </w:r>
          </w:p>
        </w:tc>
      </w:tr>
      <w:tr>
        <w:trPr>
          <w:trHeight w:val="1049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Шкаф офисный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Размеры шкафа:</w:t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Ш-</w:t>
            </w:r>
            <w:r>
              <w:rPr>
                <w:sz w:val="24"/>
              </w:rPr>
              <w:t>90,4 *  Г-40,4 * В-127 см.</w:t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</w:rPr>
              <w:t>Толщина ЛДСП не менее 16 мм.</w:t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</w:rPr>
              <w:t>Толщина кромки ПВХ не менее 0,4 мм.</w:t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</w:rPr>
              <w:t>Толщина полок не менее 25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sz w:val="24"/>
              </w:rPr>
              <w:t xml:space="preserve">Расстояние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между полками от 35 до 39 см.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Диаметр опор от 50 до 55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Количество опор - 4 шт.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Высота опоры минимум 27 мм, максимум 37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ХДФ не менее 3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Сечение ручки-профиля  21*50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топа не менее 27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планок топа не менее 10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Скругление углов планок  R=4мм.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Состав шкафа: открый стеллажа с 2-мя полками, двери средние и топ.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открытого стеллажа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Видимые торцы деталей корпуса стеллажа облицованы кромкой из ПВХ и соединены при помощи эксцентриковых стяжек и направляющих шкантов. </w:t>
              <w:br/>
              <w:t>Полки (2 шт.) фиксированные, установлены на эксцентриковые стяжки.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Стеллаж устанавливается на пластиковые опоры черного цвета, регулируемые по высоте изнутри корпуса. </w:t>
              <w:br/>
              <w:t>Материал задней стенки - древесноволокнистая плитыа высокой плотности (ХДФ), ламинированной с одной стороны пленкой в цвет ЛДСтП. Задняя стенка устанавливается в пазы деталей каркаса и фиксируется с обратной стороны пластиковыми уголками и шурупами.</w:t>
              <w:br/>
              <w:t>В боковых стенках стеллажа предусмотрены дополнительные не сквозные отверстия для стягивания нескольких стеллажей друг с другом. Стеллаж укомплектован межсекционными стяжками.</w:t>
              <w:br/>
              <w:t>Материал дверей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Торцы дверей по 3-м сторонам облицованы кромкой из ПВХ.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Верхние горизонтальные торцы дверей имеют врезную ручку-профиль, изготовленную из массива твердолиственных пород древесины и тонированы в цвет ЛДСтП, с защитным многослойным лаковым покрытием.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Двери на четырехшарнирных петлях со встроенными доводчиками.</w:t>
              <w:br/>
              <w:t>Материал топа – панели ЛДСтП по технологии «сэндвич».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Торцевые стороны топа по периметру обклеены планками из массива твердолиственных пород древесины, тонированные в цвет ЛДСтП, с защитным многослойным лаковым покрытием.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Углы планок из массива скруглены.</w:t>
              <w:br/>
              <w:t>Мебель поставляется в разобранном виде, подробная схема сборки внутри упаковки.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Примерный образец товара:</w:t>
            </w:r>
          </w:p>
          <w:p>
            <w:pPr>
              <w:pStyle w:val="Normal"/>
              <w:jc w:val="center"/>
              <w:rPr>
                <w:highlight w:val="none"/>
              </w:rPr>
            </w:pPr>
            <w:r>
              <w:rPr/>
              <w:drawing>
                <wp:inline distT="0" distB="0" distL="0" distR="0">
                  <wp:extent cx="952500" cy="95250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cs="Times New Roman"/>
                <w:sz w:val="24"/>
                <w:szCs w:val="24"/>
              </w:rPr>
              <w:t>Цветовая гамма товара выбрана в соответствии с цветовой гаммой кабинета Заказчика после ремонта. Окончательное согласование цвета (оттенка) мебели проводится Заказчиком после определения победителя электронного аукциона.</w:t>
            </w:r>
          </w:p>
        </w:tc>
      </w:tr>
      <w:tr>
        <w:trPr>
          <w:trHeight w:val="1049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Размеры шкафа: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</w:rPr>
              <w:t>Ш-90 * Г-40,4 * В-210 см.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не менее 16 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кромки ПВХ не менее 0,4 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Диметр опор от 50 до 55 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Количество опор - 4 шт.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Высота опор: минимум 27 мм, максимум 37 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ХДФ не менее 3 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Количество дверей - 2 шт.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брусков не менее 41 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кромки топа не менее 2 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Скругление углов и ребер кромки R=2мм.</w:t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</w:r>
          </w:p>
          <w:p>
            <w:pPr>
              <w:pStyle w:val="TableParagraph"/>
              <w:spacing w:lineRule="exact" w:line="248"/>
              <w:ind w:hanging="0" w:left="11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Состав шкафа: открытый стеллаж для одежды, высокие двери и топ.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стеллажа - ЛДСтП, толщиной 16мм.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Видимые торцы деталей стеллажа облицованы кромкой из ПВХ. </w:t>
              <w:br/>
              <w:t xml:space="preserve">Стеллаж устанавливается на пластиковые опоры черного цвета, регулируемые по высоте изнутри корпуса. </w:t>
              <w:br/>
              <w:t>Задняя стенка составная, по ширине, из 2-х частей, которые соединены специальной клеящей лентой серого цвета.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задней стенки - древесноволокнистая плита высокой плотности (ХДФ), ламинированной с одной стороны пленкой в цвет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Задняя стенка устанавливается в пазы деталей каркаса и фиксируется с обратной стороны пластиковыми уголками и шурупами.</w:t>
              <w:br/>
              <w:t xml:space="preserve">Стеллаж разделен вертикальной перегородкой на два отделения: отделение для одежды и головных уборов и отделение с полками для мелких вещей. </w:t>
              <w:br/>
              <w:t>В стеллаже для одежды имеются 3 горизонтальных щита: верхний и нижний щиты с креплением на эксцентриковые стяжки и направляющие шканты, одна полка для головных уборов в верхней части стеллажа.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горизонтальных щитов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Видимые торцы деталей стеллажа облицованы кромкой из ПВХ.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Полка стеллажа для одежды укомплектована выдвижной штангой – вешалкой для верхней одежды.</w:t>
              <w:br/>
              <w:t>В верхнем щите стеллажа предусмотрены отверстия для установки декоративного топа.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 боковых стенках стеллажа предусмотрены дополнительные не сквозные отверстия для стягивания нескольких стеллажей друг с другом.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Стеллаж укомплектован межсекционными стяжками.</w:t>
              <w:br/>
              <w:t>Материал дверей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Торцы дверей по периметру облицованы кромкой из ПВХ.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Двери оснащены четырехшарнирными петлями со встроенными доводчиками.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Двери имеют универсальное право и левостороннее исполнение. В правую дверь, по центру высоты, врезан замок, который одновременно является ручкой.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Для запирания левой двери, на неё изнутри сверху и снизу установлены два шпингалета, а ответные планки установлены на горизонтальные панели корпуса шкафа.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Внутренняя поверхность дверцы оснащена зеркалом прямоугольной формы.</w:t>
              <w:br/>
              <w:t>Топ шкафа состоит из основания и брусков, жестко прикрепленных по 3-м сторонам.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основания топа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брусков -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Топ по трем торцам обклеен кромкой из массива твердолиственных пород древесины, тонированные в цвет ЛДСтП, с защитным многослойным лаковым покрытием. Основание топа меньше брусков по габариту по 3-м сторонам.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Углы и ребра кромки из массива скруглены. </w:t>
              <w:br/>
              <w:t xml:space="preserve"> Топ шкафа крепится к верхнему щиту при помощи саморезов.</w:t>
              <w:br/>
              <w:t>Мебель поставляется в разобранном виде, подробная схема сборки внутри упаковки.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Примерный образец товара: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/>
              <w:drawing>
                <wp:inline distT="0" distB="0" distL="0" distR="0">
                  <wp:extent cx="952500" cy="952500"/>
                  <wp:effectExtent l="0" t="0" r="0" b="0"/>
                  <wp:docPr id="2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cs="Times New Roman"/>
                <w:sz w:val="24"/>
                <w:szCs w:val="24"/>
              </w:rPr>
              <w:t>Цветовая гамма товара выбрана в соответствии с цветовой гаммой кабинета Заказчика после ремонта. Окончательное согласование цвета (оттенка) мебели проводится Заказчиком после определения победителя электронного аукциона.</w:t>
            </w:r>
          </w:p>
        </w:tc>
      </w:tr>
      <w:tr>
        <w:trPr>
          <w:trHeight w:val="1049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Тумба низкая (шкаф)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Размеры шкафа:</w:t>
            </w:r>
          </w:p>
          <w:p>
            <w:pPr>
              <w:pStyle w:val="Normal"/>
              <w:jc w:val="center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Ш-</w:t>
            </w:r>
            <w:r>
              <w:rPr>
                <w:spacing w:val="-2"/>
                <w:sz w:val="24"/>
              </w:rPr>
              <w:t>180,4 * Г-40,4 * В-85 см.</w:t>
            </w:r>
          </w:p>
          <w:p>
            <w:pPr>
              <w:pStyle w:val="Normal"/>
              <w:jc w:val="center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стеллажа не менее 16 мм.</w:t>
            </w:r>
          </w:p>
          <w:p>
            <w:pPr>
              <w:pStyle w:val="Normal"/>
              <w:jc w:val="center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кромок ПВХ не менее 0,4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полок в шкафу не менее 25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Количество опор стеллажа - 4 шт.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Диаметром опор от 50 мм до 50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Регулировка опор  по высоте: минимум 27 мм, максимум 37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ХДФ не менее 3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ЛДСтП дверей не менее 16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Сечение врезной ручки-профиль 20*40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Общая толщина топа панели ЛДСтП не менее 27 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Толщина планок топа не менее 10 мм.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Скругление углов планок из массива R=4мм.</w:t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Состав шкафа: 2 открытых стеллажа с полками, двери низкие и единый топ.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открытого стеллаж, выполнен из ЛДСтП толщиной 16мм.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Материал видимых торцов деталей стеллажа облицованы кромкой из ПВХ толщиной 0,4 мм и соединены при помощи эксцентриковых стяжек и направляющих шкантов.</w:t>
              <w:br/>
              <w:t>Полка фиксированная установлена на эксцентриковых стяжках.</w:t>
              <w:br/>
              <w:t xml:space="preserve">Каждый стеллаж устанавливается на пластиковые опоры черного цвета, регулируемые по высоте изнутри корпуса. </w:t>
              <w:br/>
              <w:t>Задняя стенка составная, по ширине, из 2-х частей, которые соединены специальной клеящей лентой серого цвета.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Задняя стенка изготовлена из древесноволокнистой плиты высокой плотности (ХДФ), ламинированной с одной стороны пленкой в цвет ЛДСтП. Задняя стенка установлена в пазы деталей каркаса и фиксируется с обратной стороны пластиковыми уголками и шурупами.</w:t>
              <w:br/>
              <w:t>В боковых стенках стеллажей предусмотрены дополнительные не сквозные отверстия для стягивания нескольких стеллажей друг с другом. Стеллаж укомплектован межсекционными стяжками.</w:t>
              <w:br/>
              <w:t>Материал дверей-  ЛДСтП.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Торцы дверей по 3-м сторонам облицованы кромкой из ПВХ.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Верхние горизонтальные торцы дверей в своей конструкции имеют врезную ручку-профиль, изготовленную из массива твердолиственных пород древесины, тонированную в цвет ЛДСтП, с защитным многослойным лаковым покрытием.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Двери оснащены четырехшарнирными петлями со встроенными доводчиками для обеспечения плавного закрывания дверей.</w:t>
              <w:br/>
              <w:t>Топ на 2 шкафа является элементом каркаса.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Материла топа - панели ЛДСтП по технологии «сэндвич». Торцевые стороны топа по периметру обклеены планками  из массива твердолиственных пород древесины, тонированные в цвет ЛДСтП, с защитным многослойным лаковым покрытием.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Все углы планок из массива скруглены.</w:t>
              <w:br/>
              <w:t>Мебель поставляется в разобранном виде, подробная схема сборки внутри упаковки.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Примерный образец товара:</w:t>
            </w:r>
          </w:p>
          <w:p>
            <w:pPr>
              <w:pStyle w:val="Normal"/>
              <w:jc w:val="center"/>
              <w:rPr>
                <w:highlight w:val="none"/>
              </w:rPr>
            </w:pPr>
            <w:r>
              <w:rPr/>
              <w:drawing>
                <wp:inline distT="0" distB="0" distL="0" distR="0">
                  <wp:extent cx="952500" cy="952500"/>
                  <wp:effectExtent l="0" t="0" r="0" b="0"/>
                  <wp:docPr id="3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Цветовая гамма товара выбрана в соответствии с цветовой гаммой кабинета Заказчика после ремонта. Окончательное согласование цвета (оттенка) мебели проводится Заказчиком после определения победителя электронного аукциона.</w:t>
            </w:r>
          </w:p>
        </w:tc>
      </w:tr>
    </w:tbl>
    <w:p>
      <w:pPr>
        <w:pStyle w:val="Normal"/>
        <w:jc w:val="both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</w:rPr>
      </w:r>
    </w:p>
    <w:p>
      <w:pPr>
        <w:pStyle w:val="Normal"/>
        <w:jc w:val="both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</w:rPr>
      </w:r>
    </w:p>
    <w:p>
      <w:pPr>
        <w:pStyle w:val="Normal"/>
        <w:spacing w:lineRule="exact" w:line="360"/>
        <w:ind w:hanging="0" w:left="-142" w:right="0"/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Требование к качеству товара</w:t>
      </w:r>
      <w:r>
        <w:rPr>
          <w:sz w:val="24"/>
          <w:szCs w:val="24"/>
          <w:lang w:val="ru-RU"/>
        </w:rPr>
        <w:t>: товар должен быть новым, строго соответствовать техническим регламентам, применяемым к поставляемым товарам и не иметь дефектов, связанных с оформлением, материалами и качеством изготовления.</w:t>
      </w:r>
    </w:p>
    <w:p>
      <w:pPr>
        <w:pStyle w:val="Normal"/>
        <w:spacing w:lineRule="exact" w:line="360"/>
        <w:ind w:hanging="0" w:left="-142" w:right="0"/>
        <w:jc w:val="both"/>
        <w:rPr>
          <w:color w:val="FF0000"/>
          <w:sz w:val="24"/>
          <w:szCs w:val="24"/>
        </w:rPr>
      </w:pPr>
      <w:r>
        <w:rPr>
          <w:sz w:val="24"/>
          <w:szCs w:val="24"/>
          <w:lang w:val="ru-RU"/>
        </w:rPr>
        <w:t>Требования к упаковке: упаковка поставляемых товаров должна соответствовать действующим стандартам и обеспечивать сохранность товаров при транспортировке, отгрузке и хранении.</w:t>
      </w:r>
    </w:p>
    <w:sectPr>
      <w:type w:val="nextPage"/>
      <w:pgSz w:orient="landscape" w:w="15840" w:h="12240"/>
      <w:pgMar w:left="1077" w:right="624" w:gutter="0" w:header="0" w:top="710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" w:hanging="371"/>
      </w:pPr>
      <w:rPr>
        <w:sz w:val="26"/>
        <w:spacing w:val="0"/>
        <w:i w:val="false"/>
        <w:b w:val="false"/>
        <w:szCs w:val="26"/>
        <w:iCs w:val="false"/>
        <w:bCs w:val="false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97" w:hanging="37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55" w:hanging="37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12" w:hanging="37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0" w:hanging="37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427" w:hanging="37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885" w:hanging="37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0342" w:hanging="37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1800" w:hanging="371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numPr>
        <w:ilvl w:val="0"/>
        <w:numId w:val="1"/>
      </w:numPr>
      <w:jc w:val="center"/>
      <w:outlineLvl w:val="0"/>
    </w:pPr>
    <w:rPr>
      <w:b/>
      <w:sz w:val="32"/>
    </w:rPr>
  </w:style>
  <w:style w:type="paragraph" w:styleId="Heading2">
    <w:name w:val="Heading 2"/>
    <w:basedOn w:val="Normal"/>
    <w:uiPriority w:val="9"/>
    <w:unhideWhenUsed/>
    <w:qFormat/>
    <w:pPr>
      <w:keepNext w:val="true"/>
      <w:numPr>
        <w:ilvl w:val="1"/>
        <w:numId w:val="1"/>
      </w:numPr>
      <w:jc w:val="center"/>
      <w:outlineLvl w:val="1"/>
    </w:pPr>
    <w:rPr/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4">
    <w:name w:val="WW8Num3z4"/>
    <w:qFormat/>
    <w:rPr>
      <w:rFonts w:ascii="Courier New" w:hAnsi="Courier New" w:cs="Courier New"/>
    </w:rPr>
  </w:style>
  <w:style w:type="character" w:styleId="WW8Num4z0">
    <w:name w:val="WW8Num4z0"/>
    <w:qFormat/>
    <w:rPr>
      <w:b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Wingdings" w:hAnsi="Wingdings" w:cs="Wingdings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9z0">
    <w:name w:val="WW8Num19z0"/>
    <w:qFormat/>
    <w:rPr>
      <w:rFonts w:ascii="Wingdings" w:hAnsi="Wingdings" w:cs="Wingdings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ascii="Wingdings" w:hAnsi="Wingdings" w:cs="Wingdings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3">
    <w:name w:val="WW8Num27z3"/>
    <w:qFormat/>
    <w:rPr>
      <w:rFonts w:ascii="Symbol" w:hAnsi="Symbol" w:cs="Symbol"/>
    </w:rPr>
  </w:style>
  <w:style w:type="character" w:styleId="Style7">
    <w:name w:val="Основной шрифт абзаца"/>
    <w:qFormat/>
    <w:rPr/>
  </w:style>
  <w:style w:type="character" w:styleId="Itemtext1">
    <w:name w:val="itemtext1"/>
    <w:qFormat/>
    <w:rPr>
      <w:rFonts w:ascii="Tahoma" w:hAnsi="Tahoma" w:cs="Tahoma"/>
      <w:color w:val="000000"/>
      <w:sz w:val="20"/>
      <w:szCs w:val="20"/>
    </w:rPr>
  </w:style>
  <w:style w:type="character" w:styleId="Style8">
    <w:name w:val="Текст сноски Знак"/>
    <w:basedOn w:val="Style7"/>
    <w:qFormat/>
    <w:rPr/>
  </w:style>
  <w:style w:type="character" w:styleId="Emphasis">
    <w:name w:val="Emphasis"/>
    <w:qFormat/>
    <w:rPr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sz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/>
    <w:rPr>
      <w:sz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Style1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harChar1CharChar1CharChar">
    <w:name w:val="Char Char Знак Знак1 Char Char1 Знак Знак Char Char"/>
    <w:basedOn w:val="Normal"/>
    <w:qFormat/>
    <w:pPr>
      <w:spacing w:before="100" w:after="100"/>
    </w:pPr>
    <w:rPr>
      <w:rFonts w:ascii="Tahoma" w:hAnsi="Tahoma" w:cs="Tahoma"/>
      <w:sz w:val="20"/>
      <w:lang w:val="en-US"/>
    </w:rPr>
  </w:style>
  <w:style w:type="paragraph" w:styleId="2">
    <w:name w:val="Основной текст с отступом 2"/>
    <w:basedOn w:val="Normal"/>
    <w:qFormat/>
    <w:pPr>
      <w:spacing w:lineRule="auto" w:line="480" w:before="0" w:after="120"/>
      <w:ind w:hanging="0" w:left="283" w:right="0"/>
    </w:pPr>
    <w:rPr/>
  </w:style>
  <w:style w:type="paragraph" w:styleId="3">
    <w:name w:val="Стиль3"/>
    <w:basedOn w:val="2"/>
    <w:qFormat/>
    <w:pPr>
      <w:widowControl w:val="false"/>
      <w:tabs>
        <w:tab w:val="clear" w:pos="720"/>
        <w:tab w:val="left" w:pos="1307" w:leader="none"/>
      </w:tabs>
      <w:spacing w:lineRule="auto" w:line="240" w:before="0" w:after="0"/>
      <w:ind w:hanging="0" w:left="1080" w:right="0"/>
      <w:jc w:val="both"/>
    </w:pPr>
    <w:rPr>
      <w:sz w:val="24"/>
      <w:szCs w:val="24"/>
    </w:rPr>
  </w:style>
  <w:style w:type="paragraph" w:styleId="Style13">
    <w:name w:val="Обычный (веб)"/>
    <w:basedOn w:val="Normal"/>
    <w:qFormat/>
    <w:pPr>
      <w:spacing w:before="100" w:after="100"/>
    </w:pPr>
    <w:rPr>
      <w:sz w:val="24"/>
      <w:szCs w:val="24"/>
    </w:rPr>
  </w:style>
  <w:style w:type="paragraph" w:styleId="ConsNonformat">
    <w:name w:val="Con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Arial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4">
    <w:name w:val="А_обычный"/>
    <w:basedOn w:val="Normal"/>
    <w:qFormat/>
    <w:pPr>
      <w:ind w:firstLine="709" w:left="0" w:right="0"/>
      <w:jc w:val="both"/>
    </w:pPr>
    <w:rPr>
      <w:sz w:val="24"/>
      <w:szCs w:val="24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TableParagraph" w:customStyle="1">
    <w:name w:val="Table Paragraph"/>
    <w:uiPriority w:val="1"/>
    <w:qFormat/>
    <w:pPr>
      <w:keepNext w:val="false"/>
      <w:keepLines w:val="false"/>
      <w:pageBreakBefore w:val="false"/>
      <w:widowControl w:val="false"/>
      <w:shd w:val="nil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2"/>
      <w:u w:val="none"/>
      <w:vertAlign w:val="baseline"/>
      <w:lang w:val="ru-RU" w:eastAsia="en-US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LibreOffice/7.6.7.2$Linux_X86_64 LibreOffice_project/60$Build-2</Application>
  <AppVersion>15.0000</AppVersion>
  <Pages>5</Pages>
  <Words>1332</Words>
  <Characters>8362</Characters>
  <CharactersWithSpaces>9664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2021-12-20T10:13:00Z</dcterms:created>
  <dc:creator>Палата</dc:creator>
  <dc:description/>
  <dc:language>ru-RU</dc:language>
  <cp:lastModifiedBy/>
  <dcterms:modified xsi:type="dcterms:W3CDTF">2026-10-09T11:34:34Z</dcterms:modified>
  <cp:revision>30</cp:revision>
  <dc:subject/>
  <dc:title>МИНИСТЕРСТВО ЮСТИЦИИ РФ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