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Контракт</w:t>
      </w:r>
      <w:r>
        <w:rPr>
          <w:b/>
          <w:bCs/>
        </w:rPr>
        <w:t xml:space="preserve">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 xml:space="preserve">Кемеровская область — </w:t>
      </w:r>
      <w:r>
        <w:rPr/>
        <w:t>К</w:t>
      </w:r>
      <w:r>
        <w:rPr/>
        <w:t>узбасс, г. Кемерово</w:t>
      </w:r>
      <w:r>
        <w:rPr>
          <w:b/>
          <w:bCs/>
          <w:color w:val="000000"/>
        </w:rPr>
        <w:t xml:space="preserve">                                                                       </w:t>
      </w:r>
      <w:bookmarkStart w:id="0" w:name="_Hlk159928058"/>
      <w:r>
        <w:rPr>
          <w:b/>
          <w:bCs/>
          <w:color w:val="000000"/>
        </w:rPr>
        <w:t xml:space="preserve">                   </w:t>
      </w:r>
      <w:r>
        <w:rPr/>
        <w:t xml:space="preserve">« __» </w:t>
      </w:r>
      <w:r>
        <w:rPr/>
        <w:t>октября</w:t>
      </w:r>
      <w:r>
        <w:rPr/>
        <w:t xml:space="preserve"> 202</w:t>
      </w:r>
      <w:r>
        <w:rPr/>
        <w:t>6</w:t>
      </w:r>
      <w:r>
        <w:rPr/>
        <w:t>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от 08.06.2026 г., именуемое в дальнейшем «Заказчик», с одной стороны, _____________________, именуемый в дальнейшем «Поставщик», с другой стороны,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1. Предмет </w:t>
      </w:r>
      <w:r>
        <w:rPr>
          <w:b/>
          <w:bCs/>
        </w:rPr>
        <w:t>Контракта</w:t>
      </w:r>
    </w:p>
    <w:p>
      <w:pPr>
        <w:pStyle w:val="Normal"/>
        <w:numPr>
          <w:ilvl w:val="0"/>
          <w:numId w:val="0"/>
        </w:numPr>
        <w:ind w:hanging="0" w:start="0"/>
        <w:jc w:val="both"/>
        <w:outlineLvl w:val="0"/>
        <w:rPr>
          <w:b/>
          <w:bCs/>
        </w:rPr>
      </w:pPr>
      <w:r>
        <w:rPr/>
        <w:t>1.1. Поставщик по настоящему Контракт</w:t>
      </w:r>
      <w:r>
        <w:rPr>
          <w:bCs/>
        </w:rPr>
        <w:t>у</w:t>
      </w:r>
      <w:r>
        <w:rPr/>
        <w:t xml:space="preserve"> обязуется поставить </w:t>
      </w:r>
      <w:r>
        <w:rPr/>
        <w:t>товар</w:t>
      </w:r>
      <w:r>
        <w:rPr/>
        <w:t xml:space="preserve">: </w:t>
      </w:r>
      <w:r>
        <w:rPr>
          <w:b/>
          <w:bCs/>
        </w:rPr>
        <w:t>Блок дверной</w:t>
      </w:r>
      <w:bookmarkStart w:id="2" w:name="_Hlk174882135"/>
      <w:r>
        <w:rPr/>
        <w:t xml:space="preserve"> </w:t>
      </w:r>
      <w:bookmarkEnd w:id="2"/>
      <w:r>
        <w:rPr/>
        <w:t xml:space="preserve">и передать его Заказчику, а Заказчик по настоящему </w:t>
      </w:r>
      <w:r>
        <w:rPr>
          <w:bCs/>
        </w:rPr>
        <w:t>Контракт</w:t>
      </w:r>
      <w:r>
        <w:rPr>
          <w:bCs/>
        </w:rPr>
        <w:t>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Контракт</w:t>
      </w:r>
      <w:r>
        <w:rPr>
          <w:bCs/>
        </w:rPr>
        <w:t>ом</w:t>
      </w:r>
      <w:r>
        <w:rPr>
          <w:bCs/>
        </w:rPr>
        <w:t xml:space="preserve"> </w:t>
      </w:r>
      <w:r>
        <w:rPr/>
        <w:t xml:space="preserve">и спецификацией (Приложение №1 к настоящему </w:t>
      </w:r>
      <w:r>
        <w:rPr>
          <w:bCs/>
        </w:rPr>
        <w:t>Контракт</w:t>
      </w:r>
      <w:r>
        <w:rPr>
          <w:bCs/>
        </w:rPr>
        <w:t>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w:t>
      </w:r>
      <w:r>
        <w:rPr>
          <w:b/>
          <w:lang w:val="ru-RU"/>
        </w:rPr>
        <w:t>а</w:t>
      </w:r>
      <w:r>
        <w:rPr>
          <w:b/>
          <w:lang w:val="ru-RU"/>
        </w:rPr>
        <w:t xml:space="preserve"> и порядок расчетов</w:t>
      </w:r>
    </w:p>
    <w:p>
      <w:pPr>
        <w:pStyle w:val="CommentText"/>
        <w:rPr/>
      </w:pPr>
      <w:r>
        <w:rPr/>
        <w:t>2.1. Цена Контракт</w:t>
      </w:r>
      <w:r>
        <w:rPr/>
        <w:t>а</w:t>
      </w:r>
      <w:r>
        <w:rPr/>
        <w:t xml:space="preserve">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w:t>
      </w:r>
      <w:r>
        <w:rPr/>
        <w:t>а</w:t>
      </w:r>
      <w:r>
        <w:rPr/>
        <w:t xml:space="preserve">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w:t>
      </w:r>
      <w:r>
        <w:rPr/>
        <w:t>у</w:t>
      </w:r>
      <w:r>
        <w:rPr/>
        <w:t xml:space="preserve"> в соответствии  с законодательством Российской Федерации.</w:t>
      </w:r>
    </w:p>
    <w:p>
      <w:pPr>
        <w:pStyle w:val="Normal"/>
        <w:widowControl w:val="false"/>
        <w:jc w:val="both"/>
        <w:rPr/>
      </w:pPr>
      <w:r>
        <w:rPr/>
        <w:t>2.2. Цена Контракт</w:t>
      </w:r>
      <w:r>
        <w:rPr/>
        <w:t>а</w:t>
      </w:r>
      <w:r>
        <w:rPr/>
        <w:t xml:space="preserve"> является твердой и определяется на весь срок исполнения Контракт</w:t>
      </w:r>
      <w:r>
        <w:rPr/>
        <w:t>а</w:t>
      </w:r>
      <w:r>
        <w:rPr/>
        <w:t xml:space="preserve">.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Расчет по настоящему Контракт</w:t>
      </w:r>
      <w:r>
        <w:rPr>
          <w:rFonts w:eastAsia="Times New Roman"/>
          <w:color w:themeColor="text1" w:val="000000"/>
          <w:lang w:val="ru-RU"/>
        </w:rPr>
        <w:t>у</w:t>
      </w:r>
      <w:r>
        <w:rPr>
          <w:rFonts w:eastAsia="Times New Roman"/>
          <w:color w:themeColor="text1" w:val="000000"/>
          <w:lang w:val="ru-RU"/>
        </w:rPr>
        <w:t xml:space="preserve"> производится Заказчиком в течение ______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 xml:space="preserve">2.4. </w:t>
      </w:r>
      <w:bookmarkStart w:id="3" w:name="_Hlk178155259"/>
      <w:r>
        <w:rPr>
          <w:lang w:val="ru-RU"/>
        </w:rPr>
        <w:t>Оплата по Контракт</w:t>
      </w:r>
      <w:r>
        <w:rPr>
          <w:lang w:val="ru-RU"/>
        </w:rPr>
        <w:t>у</w:t>
      </w:r>
      <w:r>
        <w:rPr>
          <w:lang w:val="ru-RU"/>
        </w:rPr>
        <w:t xml:space="preserve">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w:t>
      </w:r>
      <w:r>
        <w:rPr>
          <w:lang w:val="ru-RU"/>
        </w:rPr>
        <w:t xml:space="preserve">е </w:t>
      </w:r>
      <w:r>
        <w:rPr>
          <w:lang w:val="ru-RU"/>
        </w:rPr>
        <w:t>счет Поставщика, несет Поставщик.</w:t>
      </w:r>
      <w:bookmarkEnd w:id="3"/>
    </w:p>
    <w:p>
      <w:pPr>
        <w:pStyle w:val="Normal"/>
        <w:jc w:val="both"/>
        <w:rPr>
          <w:rFonts w:eastAsia="Calibri"/>
        </w:rPr>
      </w:pPr>
      <w:r>
        <w:rPr/>
        <w:t>2.5.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w:t>
      </w:r>
      <w:r>
        <w:rPr>
          <w:b/>
          <w:lang w:val="ru-RU"/>
        </w:rPr>
        <w:t xml:space="preserve">у </w:t>
      </w:r>
      <w:r>
        <w:rPr>
          <w:b/>
          <w:lang w:val="ru-RU"/>
        </w:rPr>
        <w:t>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w:t>
      </w:r>
      <w:r>
        <w:rPr>
          <w:lang w:val="ru-RU"/>
        </w:rPr>
        <w:t>а</w:t>
      </w:r>
      <w:r>
        <w:rPr>
          <w:lang w:val="ru-RU"/>
        </w:rPr>
        <w:t>, Спецификации (Приложение № 1 к Контракт</w:t>
      </w:r>
      <w:r>
        <w:rPr>
          <w:lang w:val="ru-RU"/>
        </w:rPr>
        <w:t>у</w:t>
      </w:r>
      <w:r>
        <w:rPr>
          <w:lang w:val="ru-RU"/>
        </w:rPr>
        <w:t>).</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3.1.6. Отказаться от приемки Товара, не соответствующего условиям Контракт</w:t>
      </w:r>
      <w:r>
        <w:rPr>
          <w:lang w:val="ru-RU"/>
        </w:rPr>
        <w:t>а</w:t>
      </w:r>
      <w:r>
        <w:rPr>
          <w:lang w:val="ru-RU"/>
        </w:rPr>
        <w:t xml:space="preserve">,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w:t>
      </w:r>
      <w:r>
        <w:rPr>
          <w:lang w:val="ru-RU"/>
        </w:rPr>
        <w:t>а</w:t>
      </w:r>
      <w:r>
        <w:rPr>
          <w:lang w:val="ru-RU"/>
        </w:rPr>
        <w:t xml:space="preserve"> количество поставляемого Товара, предусмотренного Контракт</w:t>
      </w:r>
      <w:r>
        <w:rPr>
          <w:lang w:val="ru-RU"/>
        </w:rPr>
        <w:t>ом</w:t>
      </w:r>
      <w:r>
        <w:rPr>
          <w:lang w:val="ru-RU"/>
        </w:rPr>
        <w:t>,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w:t>
      </w:r>
      <w:r>
        <w:rPr>
          <w:b/>
          <w:lang w:val="ru-RU"/>
        </w:rPr>
        <w:t xml:space="preserve">у </w:t>
      </w:r>
      <w:r>
        <w:rPr>
          <w:b/>
          <w:lang w:val="ru-RU"/>
        </w:rPr>
        <w:t>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w:t>
      </w:r>
      <w:r>
        <w:rPr>
          <w:lang w:val="ru-RU"/>
        </w:rPr>
        <w:t>а</w:t>
      </w:r>
      <w:r>
        <w:rPr>
          <w:lang w:val="ru-RU"/>
        </w:rPr>
        <w:t>.</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w:t>
      </w:r>
      <w:r>
        <w:rPr>
          <w:lang w:val="ru-RU"/>
        </w:rPr>
        <w:t>ом</w:t>
      </w:r>
      <w:r>
        <w:rPr>
          <w:lang w:val="ru-RU"/>
        </w:rPr>
        <w:t>.  3.2.4 Требовать уплаты неустойки (штрафа, пени) в соответствии с разделом 8 Контракт</w:t>
      </w:r>
      <w:r>
        <w:rPr>
          <w:lang w:val="ru-RU"/>
        </w:rPr>
        <w:t>а</w:t>
      </w:r>
      <w:r>
        <w:rPr>
          <w:lang w:val="ru-RU"/>
        </w:rPr>
        <w:t>.</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w:t>
      </w:r>
      <w:r>
        <w:rPr>
          <w:b/>
          <w:lang w:val="ru-RU"/>
        </w:rPr>
        <w:t>у</w:t>
      </w:r>
      <w:r>
        <w:rPr>
          <w:b/>
          <w:lang w:val="ru-RU"/>
        </w:rPr>
        <w:t xml:space="preserve">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w:t>
      </w:r>
      <w:r>
        <w:rPr>
          <w:b/>
          <w:lang w:val="ru-RU"/>
        </w:rPr>
        <w:t>у</w:t>
      </w:r>
      <w:r>
        <w:rPr>
          <w:b/>
          <w:lang w:val="ru-RU"/>
        </w:rPr>
        <w:t xml:space="preserve">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w:t>
      </w:r>
      <w:r>
        <w:rPr>
          <w:lang w:val="ru-RU"/>
        </w:rPr>
        <w:t>ом</w:t>
      </w:r>
      <w:r>
        <w:rPr>
          <w:lang w:val="ru-RU"/>
        </w:rPr>
        <w:t xml:space="preserve"> срок, надлежаще оформленные документы, предусмотренные Контракт</w:t>
      </w:r>
      <w:r>
        <w:rPr>
          <w:lang w:val="ru-RU"/>
        </w:rPr>
        <w:t>ом</w:t>
      </w:r>
      <w:r>
        <w:rPr>
          <w:lang w:val="ru-RU"/>
        </w:rPr>
        <w:t>.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w:t>
      </w:r>
      <w:r>
        <w:rPr>
          <w:lang w:val="ru-RU"/>
        </w:rPr>
        <w:t xml:space="preserve">ом </w:t>
      </w:r>
      <w:r>
        <w:rPr>
          <w:lang w:val="ru-RU"/>
        </w:rPr>
        <w:t>(п.5.5).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w:t>
      </w:r>
      <w:r>
        <w:rPr>
          <w:lang w:val="ru-RU"/>
        </w:rPr>
        <w:t>у</w:t>
      </w:r>
      <w:r>
        <w:rPr>
          <w:lang w:val="ru-RU"/>
        </w:rPr>
        <w:t xml:space="preserve">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 xml:space="preserve">4.1. Поставка товара осуществляется </w:t>
      </w:r>
      <w:r>
        <w:rPr/>
        <w:t>в течение 10 календарных дней с момента заключения Контракта.</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w:t>
      </w:r>
      <w:r>
        <w:rPr/>
        <w:t>а</w:t>
      </w:r>
      <w:r>
        <w:rPr/>
        <w:t xml:space="preserve">.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w:t>
      </w:r>
      <w:r>
        <w:rPr/>
        <w:t>а</w:t>
      </w:r>
      <w:r>
        <w:rPr/>
        <w:t xml:space="preserve">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w:t>
      </w:r>
      <w:r>
        <w:rPr/>
        <w:t>у</w:t>
      </w:r>
      <w:r>
        <w:rPr/>
        <w:t>.</w:t>
      </w:r>
    </w:p>
    <w:p>
      <w:pPr>
        <w:pStyle w:val="Normal"/>
        <w:jc w:val="both"/>
        <w:rPr/>
      </w:pPr>
      <w:r>
        <w:rPr/>
        <w:t xml:space="preserve">6.2. Товар должен быть новым, ранее не использованным. </w:t>
      </w:r>
    </w:p>
    <w:p>
      <w:pPr>
        <w:pStyle w:val="Normal"/>
        <w:jc w:val="both"/>
        <w:rPr/>
      </w:pPr>
      <w:r>
        <w:rPr/>
        <w:t xml:space="preserve">6.3. </w:t>
      </w:r>
      <w:bookmarkStart w:id="6" w:name="_Hlk177570061"/>
      <w:r>
        <w:rPr/>
        <w:t>Гарантийный срок на Товар не менее 12 месяцев с момента приемки товара.</w:t>
      </w:r>
      <w:bookmarkEnd w:id="6"/>
    </w:p>
    <w:p>
      <w:pPr>
        <w:pStyle w:val="Normal"/>
        <w:jc w:val="both"/>
        <w:rPr/>
      </w:pPr>
      <w:r>
        <w:rPr/>
        <w:t xml:space="preserve">6.4.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jc w:val="center"/>
        <w:rPr>
          <w:b/>
        </w:rPr>
      </w:pPr>
      <w:r>
        <w:rPr>
          <w:b/>
        </w:rPr>
        <w:t>8. Ответственность сторон</w:t>
      </w:r>
    </w:p>
    <w:p>
      <w:pPr>
        <w:pStyle w:val="Normal"/>
        <w:jc w:val="both"/>
        <w:rPr/>
      </w:pPr>
      <w:r>
        <w:rPr/>
        <w:t xml:space="preserve">8.1. </w:t>
      </w:r>
      <w:bookmarkStart w:id="7" w:name="_Hlk177570087"/>
      <w:r>
        <w:rPr/>
        <w:t>Стороны несут ответственность за неисполнение или ненадлежащее исполнение условий настоящего Контракт</w:t>
      </w:r>
      <w:r>
        <w:rPr/>
        <w:t xml:space="preserve">а </w:t>
      </w:r>
      <w:r>
        <w:rPr/>
        <w:t>в соответствии с законодательством Российской Федерации. Под ненадлежащим исполнение условий настоящего Контракт</w:t>
      </w:r>
      <w:r>
        <w:rPr/>
        <w:t xml:space="preserve">а </w:t>
      </w:r>
      <w:r>
        <w:rPr/>
        <w:t>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w:t>
      </w:r>
      <w:r>
        <w:rPr/>
        <w:t>ом</w:t>
      </w:r>
      <w:r>
        <w:rPr/>
        <w:t>,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w:t>
      </w:r>
      <w:r>
        <w:rPr/>
        <w:t>у</w:t>
      </w:r>
      <w:r>
        <w:rPr/>
        <w:t>.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8.3. В случае просрочки исполнения Поставщиком своих обязательств, предусмотренных настоящим Контракт</w:t>
      </w:r>
      <w:r>
        <w:rPr/>
        <w:t>ом</w:t>
      </w:r>
      <w:r>
        <w:rPr/>
        <w:t>,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w:t>
      </w:r>
      <w:r>
        <w:rPr/>
        <w:t>у.</w:t>
      </w:r>
      <w:r>
        <w:rPr/>
        <w:t xml:space="preserve">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w:t>
      </w:r>
      <w:r>
        <w:rPr/>
        <w:t>ом</w:t>
      </w:r>
      <w:r>
        <w:rPr/>
        <w:t>, за исключением просрочки исполнения обязательств, предусмотренных настоящим Контракт</w:t>
      </w:r>
      <w:r>
        <w:rPr/>
        <w:t>ом</w:t>
      </w:r>
      <w:r>
        <w:rPr/>
        <w:t>, начисляются штрафы. Размер штрафа устанавливается настоящим Контракт</w:t>
      </w:r>
      <w:r>
        <w:rPr/>
        <w:t>ом</w:t>
      </w:r>
      <w:r>
        <w:rPr/>
        <w:t xml:space="preserve"> в виде фиксированной суммы 1000 рублей 00 копеек (одна тысяча рублей 00 копеек).</w:t>
      </w:r>
    </w:p>
    <w:p>
      <w:pPr>
        <w:pStyle w:val="Normal"/>
        <w:jc w:val="both"/>
        <w:rPr/>
      </w:pPr>
      <w:r>
        <w:rPr/>
        <w:t>8.5. За неисполнение или ненадлежащее исполнение Поставщиком обязательств, предусмотренных настоящим Контракт</w:t>
      </w:r>
      <w:r>
        <w:rPr/>
        <w:t>ом</w:t>
      </w:r>
      <w:r>
        <w:rPr/>
        <w:t>, за исключением просрочки исполнения обязательств, предусмотренных настоящим Контракт</w:t>
      </w:r>
      <w:r>
        <w:rPr/>
        <w:t>ом</w:t>
      </w:r>
      <w:r>
        <w:rPr/>
        <w:t>, начисляются штрафы. Размер штрафа устанавливается настоящим Контракт</w:t>
      </w:r>
      <w:r>
        <w:rPr/>
        <w:t>ом</w:t>
      </w:r>
      <w:r>
        <w:rPr/>
        <w:t xml:space="preserve"> в виде фиксированной суммы </w:t>
      </w:r>
      <w:r>
        <w:rPr>
          <w:b/>
          <w:bCs/>
        </w:rPr>
        <w:t>000,00</w:t>
      </w:r>
      <w:r>
        <w:rPr/>
        <w:t xml:space="preserve"> руб. и составляет 10% от цены настоящего Контракт</w:t>
      </w:r>
      <w:r>
        <w:rPr/>
        <w:t>ом</w:t>
      </w:r>
      <w:r>
        <w:rPr/>
        <w:t>.</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w:t>
      </w:r>
      <w:r>
        <w:rPr/>
        <w:t>ом</w:t>
      </w:r>
      <w:r>
        <w:rPr/>
        <w:t>,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w:t>
      </w:r>
      <w:r>
        <w:rPr/>
        <w:t>ом</w:t>
      </w:r>
      <w:r>
        <w:rPr/>
        <w:t>.</w:t>
      </w:r>
    </w:p>
    <w:p>
      <w:pPr>
        <w:pStyle w:val="Normal"/>
        <w:ind w:start="360"/>
        <w:jc w:val="both"/>
        <w:rPr/>
      </w:pPr>
      <w:r>
        <w:rPr/>
      </w:r>
    </w:p>
    <w:p>
      <w:pPr>
        <w:pStyle w:val="BodyTextIndent"/>
        <w:ind w:hanging="0"/>
        <w:jc w:val="center"/>
        <w:rPr>
          <w:b/>
          <w:lang w:val="ru-RU"/>
        </w:rPr>
      </w:pPr>
      <w:r>
        <w:rPr>
          <w:b/>
          <w:lang w:val="ru-RU"/>
        </w:rPr>
        <w:t>9. Срок действия, изменение и прекращение Контракт</w:t>
      </w:r>
      <w:r>
        <w:rPr>
          <w:b/>
          <w:lang w:val="ru-RU"/>
        </w:rPr>
        <w:t>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 xml:space="preserve">Настоящий Контракт вступает в силу с момента заключения и действует до </w:t>
      </w:r>
      <w:r>
        <w:rPr>
          <w:rFonts w:ascii="Times New Roman" w:hAnsi="Times New Roman"/>
          <w:sz w:val="20"/>
          <w:szCs w:val="20"/>
        </w:rPr>
        <w:t>30.12.2026</w:t>
      </w:r>
      <w:r>
        <w:rPr>
          <w:rFonts w:ascii="Times New Roman" w:hAnsi="Times New Roman"/>
          <w:sz w:val="20"/>
          <w:szCs w:val="20"/>
        </w:rPr>
        <w:t xml:space="preserve"> г., а в части оплаты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w:t>
      </w:r>
      <w:r>
        <w:rPr>
          <w:rFonts w:ascii="Times New Roman" w:hAnsi="Times New Roman"/>
          <w:sz w:val="20"/>
          <w:szCs w:val="20"/>
        </w:rPr>
        <w:t>а</w:t>
      </w:r>
      <w:r>
        <w:rPr>
          <w:rFonts w:ascii="Times New Roman" w:hAnsi="Times New Roman"/>
          <w:sz w:val="20"/>
          <w:szCs w:val="20"/>
        </w:rPr>
        <w:t xml:space="preserve">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w:t>
      </w:r>
      <w:r>
        <w:rPr>
          <w:rFonts w:ascii="Times New Roman" w:hAnsi="Times New Roman"/>
          <w:sz w:val="20"/>
          <w:szCs w:val="20"/>
        </w:rPr>
        <w:t>а</w:t>
      </w:r>
      <w:r>
        <w:rPr>
          <w:rFonts w:ascii="Times New Roman" w:hAnsi="Times New Roman"/>
          <w:sz w:val="20"/>
          <w:szCs w:val="20"/>
        </w:rPr>
        <w:t xml:space="preserve">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w:t>
      </w:r>
      <w:r>
        <w:rPr>
          <w:rFonts w:ascii="Times New Roman" w:hAnsi="Times New Roman"/>
          <w:sz w:val="20"/>
          <w:szCs w:val="20"/>
        </w:rPr>
        <w:t>а</w:t>
      </w:r>
      <w:r>
        <w:rPr>
          <w:rFonts w:ascii="Times New Roman" w:hAnsi="Times New Roman"/>
          <w:sz w:val="20"/>
          <w:szCs w:val="20"/>
        </w:rPr>
        <w:t xml:space="preserve">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w:t>
      </w:r>
      <w:r>
        <w:rPr>
          <w:rFonts w:ascii="Times New Roman" w:hAnsi="Times New Roman"/>
          <w:sz w:val="20"/>
          <w:szCs w:val="20"/>
        </w:rPr>
        <w:t>у</w:t>
      </w:r>
      <w:r>
        <w:rPr>
          <w:rFonts w:ascii="Times New Roman" w:hAnsi="Times New Roman"/>
          <w:sz w:val="20"/>
          <w:szCs w:val="20"/>
        </w:rPr>
        <w:t>,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w:t>
      </w:r>
      <w:r>
        <w:rPr/>
        <w:t>у</w:t>
      </w:r>
      <w:r>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w:t>
      </w:r>
      <w:r>
        <w:rPr/>
        <w:t>у</w:t>
      </w:r>
      <w:r>
        <w:rPr/>
        <w:t xml:space="preserve"> Стороны, их аффилированные лица, работники или посредники не осуществляют действия, квалифицируемые применимым для целей настоящего Контракт</w:t>
      </w:r>
      <w:r>
        <w:rPr/>
        <w:t>а</w:t>
      </w:r>
      <w:r>
        <w:rPr/>
        <w:t xml:space="preserve">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w:t>
      </w:r>
      <w:r>
        <w:rPr/>
        <w:t>у</w:t>
      </w:r>
      <w:r>
        <w:rPr/>
        <w:t xml:space="preserve">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w:t>
      </w:r>
      <w:r>
        <w:rPr/>
        <w:t>а</w:t>
      </w:r>
      <w:r>
        <w:rPr/>
        <w:t xml:space="preserve">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w:t>
      </w:r>
      <w:r>
        <w:rPr/>
        <w:t>а</w:t>
      </w:r>
      <w:r>
        <w:rPr/>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w:t>
      </w:r>
      <w:r>
        <w:rPr/>
        <w:t xml:space="preserve">а </w:t>
      </w:r>
      <w:r>
        <w:rPr/>
        <w:t>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w:t>
      </w:r>
      <w:r>
        <w:rPr/>
        <w:t>у</w:t>
      </w:r>
      <w:r>
        <w:rPr/>
        <w:t>,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w:t>
      </w:r>
      <w:r>
        <w:rPr/>
        <w:t>а</w:t>
      </w:r>
      <w:r>
        <w:rPr/>
        <w:t xml:space="preserve">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w:t>
      </w:r>
      <w:r>
        <w:rPr/>
        <w:t>у</w:t>
      </w:r>
      <w:r>
        <w:rPr/>
        <w:t xml:space="preserve">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w:t>
      </w:r>
      <w:r>
        <w:rPr/>
        <w:t>у</w:t>
      </w:r>
      <w:r>
        <w:rPr/>
        <w:t>,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w:t>
      </w:r>
      <w:r>
        <w:rPr/>
        <w:t>у</w:t>
      </w:r>
      <w:r>
        <w:rPr/>
        <w:t>, насколько это целесообразно, и ведет поиск альтернативных способов выполнения Контракт</w:t>
      </w:r>
      <w:r>
        <w:rPr/>
        <w:t>у</w:t>
      </w:r>
      <w:r>
        <w:rPr/>
        <w:t>,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w:t>
      </w:r>
      <w:r>
        <w:rPr/>
        <w:t xml:space="preserve">а </w:t>
      </w:r>
      <w:r>
        <w:rPr/>
        <w:t>может быть продолжено в порядке, действовавшем до возникновения обстоятельств непреодолимой силы, то срок исполнения обязательств по Контракт</w:t>
      </w:r>
      <w:r>
        <w:rPr/>
        <w:t>у</w:t>
      </w:r>
      <w:r>
        <w:rPr/>
        <w:t xml:space="preserve">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jc w:val="both"/>
        <w:rPr/>
      </w:pPr>
      <w:r>
        <w:rPr/>
        <w:t>13.1. Все споры и разногласия, которые могут возникнуть по настоящему Контракт</w:t>
      </w:r>
      <w:r>
        <w:rPr/>
        <w:t>у</w:t>
      </w:r>
      <w:r>
        <w:rPr/>
        <w:t>,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jc w:val="both"/>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w:t>
      </w:r>
      <w:r>
        <w:rPr/>
        <w:t>а</w:t>
      </w:r>
      <w:r>
        <w:rPr/>
        <w:t xml:space="preserve"> (Контракт,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jc w:val="both"/>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pPr>
        <w:pStyle w:val="Normal"/>
        <w:tabs>
          <w:tab w:val="clear" w:pos="708"/>
          <w:tab w:val="left" w:pos="540" w:leader="none"/>
        </w:tabs>
        <w:ind w:end="-142"/>
        <w:jc w:val="both"/>
        <w:rPr/>
      </w:pPr>
      <w:r>
        <w:rPr/>
        <w:t>Любые приложения, изменения и дополнения к настоящему Контракт</w:t>
      </w:r>
      <w:r>
        <w:rPr/>
        <w:t>у</w:t>
      </w:r>
      <w:r>
        <w:rPr/>
        <w:t xml:space="preserve"> действительны и являются неотъемлемой частью настоящего Контракт</w:t>
      </w:r>
      <w:r>
        <w:rPr/>
        <w:t xml:space="preserve">а </w:t>
      </w:r>
      <w:r>
        <w:rPr/>
        <w:t>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jc w:val="both"/>
        <w:rPr/>
      </w:pPr>
      <w:r>
        <w:rPr/>
        <w:t>Стороны прямо договорились, что заключение Контракт</w:t>
      </w:r>
      <w:r>
        <w:rPr/>
        <w:t>а</w:t>
      </w:r>
      <w:r>
        <w:rPr/>
        <w:t xml:space="preserve"> в виде электронного документа с использованием ЭП не является препятствием для подписания дополнительных соглашений к Контракт</w:t>
      </w:r>
      <w:r>
        <w:rPr/>
        <w:t>у</w:t>
      </w:r>
      <w:r>
        <w:rPr/>
        <w:t xml:space="preserve">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jc w:val="both"/>
        <w:rPr/>
      </w:pPr>
      <w:r>
        <w:rPr/>
        <w:t>13.7. Использование ЭП, владельцем которой является уполномоченное лицо стороны Контракт</w:t>
      </w:r>
      <w:r>
        <w:rPr/>
        <w:t>а</w:t>
      </w:r>
      <w:r>
        <w:rPr/>
        <w:t>, с нарушением конфиденциальности соответствующего ключа не освобождает сторону Контракт</w:t>
      </w:r>
      <w:r>
        <w:rPr/>
        <w:t>а</w:t>
      </w:r>
      <w:r>
        <w:rPr/>
        <w:t xml:space="preserve">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jc w:val="both"/>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35"/>
        <w:gridCol w:w="4821"/>
      </w:tblGrid>
      <w:tr>
        <w:trPr>
          <w:trHeight w:val="7632" w:hRule="atLeast"/>
        </w:trPr>
        <w:tc>
          <w:tcPr>
            <w:tcW w:w="5635"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numPr>
                <w:ilvl w:val="0"/>
                <w:numId w:val="0"/>
              </w:numPr>
              <w:ind w:hanging="0" w:start="0"/>
              <w:jc w:val="both"/>
              <w:outlineLvl w:val="5"/>
              <w:rPr>
                <w:b/>
                <w:iCs/>
              </w:rPr>
            </w:pPr>
            <w:r>
              <w:rPr>
                <w:b/>
                <w:iCs/>
              </w:rPr>
            </w:r>
          </w:p>
          <w:p>
            <w:pPr>
              <w:pStyle w:val="Normal"/>
              <w:jc w:val="both"/>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jc w:val="both"/>
              <w:rPr/>
            </w:pPr>
            <w:r>
              <w:rPr/>
              <w:t>Юридический и фактический адрес:</w:t>
            </w:r>
          </w:p>
          <w:p>
            <w:pPr>
              <w:pStyle w:val="Normal"/>
              <w:jc w:val="both"/>
              <w:rPr/>
            </w:pPr>
            <w:r>
              <w:rPr/>
              <w:t>650002, г. Кемерово, бульвар имени академика Л.С. Барбараша, стр. 6</w:t>
            </w:r>
          </w:p>
          <w:p>
            <w:pPr>
              <w:pStyle w:val="Normal"/>
              <w:jc w:val="both"/>
              <w:rPr/>
            </w:pPr>
            <w:r>
              <w:rPr/>
              <w:t>Тел.: +7 (3842) 64-33-08</w:t>
            </w:r>
          </w:p>
          <w:p>
            <w:pPr>
              <w:pStyle w:val="Normal"/>
              <w:jc w:val="both"/>
              <w:rPr/>
            </w:pPr>
            <w:r>
              <w:rPr/>
              <w:t>Банковские реквизиты:</w:t>
            </w:r>
          </w:p>
          <w:p>
            <w:pPr>
              <w:pStyle w:val="Normal"/>
              <w:jc w:val="both"/>
              <w:rPr/>
            </w:pPr>
            <w:r>
              <w:rPr/>
              <w:t>УФК по Новосибирской области (НИИ КПССЗ л/с 20396Х66880)</w:t>
            </w:r>
          </w:p>
          <w:p>
            <w:pPr>
              <w:pStyle w:val="Normal"/>
              <w:jc w:val="both"/>
              <w:rPr/>
            </w:pPr>
            <w:r>
              <w:rPr/>
              <w:t>УФК по Новосибирской области (НИИ КПССЗ л/с 21396Х66880)</w:t>
            </w:r>
          </w:p>
          <w:p>
            <w:pPr>
              <w:pStyle w:val="Normal"/>
              <w:jc w:val="both"/>
              <w:rPr/>
            </w:pPr>
            <w:r>
              <w:rPr/>
              <w:t>УФК по Новосибирской области (НИИ КПССЗ л/с 22396Х66880)</w:t>
            </w:r>
          </w:p>
          <w:p>
            <w:pPr>
              <w:pStyle w:val="Normal"/>
              <w:jc w:val="both"/>
              <w:rPr/>
            </w:pPr>
            <w:r>
              <w:rPr/>
              <w:t>ИНН 4205012290 КПП 420501001</w:t>
            </w:r>
          </w:p>
          <w:p>
            <w:pPr>
              <w:pStyle w:val="Normal"/>
              <w:jc w:val="both"/>
              <w:rPr/>
            </w:pPr>
            <w:r>
              <w:rPr/>
              <w:t>р/с 03214643000000015106</w:t>
            </w:r>
          </w:p>
          <w:p>
            <w:pPr>
              <w:pStyle w:val="Normal"/>
              <w:jc w:val="both"/>
              <w:rPr/>
            </w:pPr>
            <w:r>
              <w:rPr/>
              <w:t>ОКЦ № 1 СибГУ Банка России/УФК по Новосибирской области, г. Новосибирск</w:t>
            </w:r>
          </w:p>
          <w:p>
            <w:pPr>
              <w:pStyle w:val="Normal"/>
              <w:jc w:val="both"/>
              <w:rPr/>
            </w:pPr>
            <w:r>
              <w:rPr/>
              <w:t>БИК 015004950</w:t>
            </w:r>
          </w:p>
          <w:p>
            <w:pPr>
              <w:pStyle w:val="Normal"/>
              <w:jc w:val="both"/>
              <w:rPr/>
            </w:pPr>
            <w:r>
              <w:rPr/>
              <w:t>к/с 40102810445370000043</w:t>
            </w:r>
          </w:p>
          <w:p>
            <w:pPr>
              <w:pStyle w:val="Normal"/>
              <w:jc w:val="both"/>
              <w:rPr/>
            </w:pPr>
            <w:r>
              <w:rPr/>
              <w:t>КБК 00000000000000000130</w:t>
            </w:r>
          </w:p>
          <w:p>
            <w:pPr>
              <w:pStyle w:val="Normal"/>
              <w:jc w:val="both"/>
              <w:rPr/>
            </w:pPr>
            <w:r>
              <w:rPr/>
              <w:t>ОГРН 1034205024479</w:t>
            </w:r>
          </w:p>
          <w:p>
            <w:pPr>
              <w:pStyle w:val="Normal"/>
              <w:jc w:val="both"/>
              <w:rPr/>
            </w:pPr>
            <w:r>
              <w:rPr/>
              <w:t>ОКПО 55608705 ОКАТО 32401000000</w:t>
            </w:r>
          </w:p>
          <w:p>
            <w:pPr>
              <w:pStyle w:val="Normal"/>
              <w:jc w:val="both"/>
              <w:rPr/>
            </w:pPr>
            <w:r>
              <w:rPr/>
              <w:t>ОКТМО 32701000 ОКФС 12</w:t>
            </w:r>
          </w:p>
          <w:p>
            <w:pPr>
              <w:pStyle w:val="Normal"/>
              <w:jc w:val="both"/>
              <w:rPr/>
            </w:pPr>
            <w:r>
              <w:rPr/>
              <w:t>ОКОГУ 1330612 ОКОПФ 75103 ОКВЭД 72.19</w:t>
            </w:r>
          </w:p>
          <w:p>
            <w:pPr>
              <w:pStyle w:val="Normal"/>
              <w:jc w:val="both"/>
              <w:rPr/>
            </w:pPr>
            <w:r>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м.п.</w:t>
            </w:r>
            <w:r>
              <w:rPr>
                <w:rFonts w:cs="Times New Roman" w:ascii="Times New Roman" w:hAnsi="Times New Roman"/>
                <w:sz w:val="20"/>
                <w:szCs w:val="20"/>
              </w:rPr>
              <w:t xml:space="preserve"> </w:t>
            </w:r>
          </w:p>
        </w:tc>
        <w:tc>
          <w:tcPr>
            <w:tcW w:w="4821"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9" w:name="_Hlk180496427"/>
      <w:r>
        <w:rPr/>
        <w:t xml:space="preserve">к </w:t>
      </w:r>
      <w:r>
        <w:rPr/>
        <w:t>Контракту</w:t>
      </w:r>
      <w:r>
        <w:rPr/>
        <w:t xml:space="preserve"> </w:t>
      </w:r>
      <w:r>
        <w:rPr>
          <w:b/>
          <w:bCs/>
        </w:rPr>
        <w:t xml:space="preserve">№ </w:t>
      </w:r>
      <w:r>
        <w:rPr>
          <w:b/>
          <w:bCs/>
        </w:rPr>
        <w:t>___________</w:t>
      </w:r>
    </w:p>
    <w:p>
      <w:pPr>
        <w:pStyle w:val="Normal"/>
        <w:spacing w:before="0" w:after="60"/>
        <w:jc w:val="end"/>
        <w:rPr>
          <w:b/>
          <w:bCs/>
        </w:rPr>
      </w:pPr>
      <w:r>
        <w:rPr>
          <w:rFonts w:eastAsia="Calibri"/>
          <w:lang w:eastAsia="en-US"/>
        </w:rPr>
        <w:t>«</w:t>
      </w:r>
      <w:r>
        <w:rPr>
          <w:rFonts w:eastAsia="Calibri"/>
          <w:lang w:eastAsia="en-US"/>
        </w:rPr>
        <w:t>____</w:t>
      </w:r>
      <w:r>
        <w:rPr>
          <w:rFonts w:eastAsia="Calibri"/>
          <w:lang w:eastAsia="en-US"/>
        </w:rPr>
        <w:t xml:space="preserve">» </w:t>
      </w:r>
      <w:r>
        <w:rPr>
          <w:rFonts w:eastAsia="Calibri"/>
          <w:lang w:eastAsia="en-US"/>
        </w:rPr>
        <w:t xml:space="preserve">октября </w:t>
      </w:r>
      <w:r>
        <w:rPr>
          <w:rFonts w:eastAsia="Calibri"/>
          <w:lang w:eastAsia="en-US"/>
        </w:rPr>
        <w:t>202</w:t>
      </w:r>
      <w:r>
        <w:rPr>
          <w:rFonts w:eastAsia="Calibri"/>
          <w:lang w:eastAsia="en-US"/>
        </w:rPr>
        <w:t>6</w:t>
      </w:r>
      <w:r>
        <w:rPr>
          <w:rFonts w:eastAsia="Calibri"/>
          <w:lang w:eastAsia="en-US"/>
        </w:rPr>
        <w:t>г.</w:t>
      </w:r>
    </w:p>
    <w:p>
      <w:pPr>
        <w:pStyle w:val="Normal"/>
        <w:spacing w:before="0" w:after="60"/>
        <w:jc w:val="end"/>
        <w:rPr>
          <w:b/>
          <w:bCs/>
        </w:rPr>
      </w:pPr>
      <w:r>
        <w:rPr>
          <w:rFonts w:eastAsia="Calibri"/>
          <w:b/>
          <w:bCs/>
          <w:lang w:eastAsia="en-US"/>
        </w:rPr>
      </w:r>
    </w:p>
    <w:p>
      <w:pPr>
        <w:pStyle w:val="Normal"/>
        <w:spacing w:before="0" w:after="60"/>
        <w:jc w:val="center"/>
        <w:rPr>
          <w:b/>
          <w:bCs/>
        </w:rPr>
      </w:pPr>
      <w:r>
        <w:rPr>
          <w:rFonts w:eastAsia="Calibri"/>
          <w:b/>
          <w:bCs/>
          <w:lang w:eastAsia="en-US"/>
        </w:rPr>
        <w:t>Спецификаци</w:t>
      </w:r>
      <w:r>
        <w:rPr>
          <w:rFonts w:eastAsia="Calibri"/>
          <w:b/>
          <w:bCs/>
          <w:lang w:eastAsia="en-US"/>
        </w:rPr>
        <w:t>я</w:t>
      </w:r>
    </w:p>
    <w:tbl>
      <w:tblPr>
        <w:tblW w:w="15392" w:type="dxa"/>
        <w:jc w:val="start"/>
        <w:tblInd w:w="376" w:type="dxa"/>
        <w:tblLayout w:type="fixed"/>
        <w:tblCellMar>
          <w:top w:w="0" w:type="dxa"/>
          <w:start w:w="108" w:type="dxa"/>
          <w:bottom w:w="0" w:type="dxa"/>
          <w:end w:w="108" w:type="dxa"/>
        </w:tblCellMar>
        <w:tblLook w:val="01e0" w:noHBand="0" w:noVBand="0" w:firstColumn="1" w:lastRow="1" w:lastColumn="1" w:firstRow="1"/>
      </w:tblPr>
      <w:tblGrid>
        <w:gridCol w:w="508"/>
        <w:gridCol w:w="5480"/>
        <w:gridCol w:w="404"/>
        <w:gridCol w:w="1131"/>
        <w:gridCol w:w="23"/>
        <w:gridCol w:w="219"/>
        <w:gridCol w:w="1062"/>
        <w:gridCol w:w="1558"/>
        <w:gridCol w:w="1419"/>
        <w:gridCol w:w="1558"/>
        <w:gridCol w:w="2030"/>
      </w:tblGrid>
      <w:tr>
        <w:trPr>
          <w:trHeight w:val="572" w:hRule="atLeast"/>
        </w:trPr>
        <w:tc>
          <w:tcPr>
            <w:tcW w:w="5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w:t>
            </w:r>
          </w:p>
          <w:p>
            <w:pPr>
              <w:pStyle w:val="Normal"/>
              <w:widowControl w:val="false"/>
              <w:jc w:val="center"/>
              <w:rPr>
                <w:sz w:val="16"/>
                <w:szCs w:val="16"/>
              </w:rPr>
            </w:pPr>
            <w:r>
              <w:rPr>
                <w:sz w:val="16"/>
                <w:szCs w:val="16"/>
              </w:rPr>
              <w:t>п/п</w:t>
            </w:r>
          </w:p>
        </w:tc>
        <w:tc>
          <w:tcPr>
            <w:tcW w:w="54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Наименование, минимальные технические (качественные) характеристики  товара</w:t>
            </w:r>
          </w:p>
        </w:tc>
        <w:tc>
          <w:tcPr>
            <w:tcW w:w="1558" w:type="dxa"/>
            <w:gridSpan w:val="3"/>
            <w:tcBorders>
              <w:top w:val="single" w:sz="4" w:space="0" w:color="000000"/>
              <w:start w:val="single" w:sz="4" w:space="0" w:color="000000"/>
              <w:bottom w:val="single" w:sz="4" w:space="0" w:color="000000"/>
              <w:end w:val="single" w:sz="4" w:space="0" w:color="000000"/>
            </w:tcBorders>
          </w:tcPr>
          <w:p>
            <w:pPr>
              <w:pStyle w:val="Normal"/>
              <w:widowControl w:val="false"/>
              <w:jc w:val="center"/>
              <w:rPr>
                <w:sz w:val="16"/>
                <w:szCs w:val="16"/>
              </w:rPr>
            </w:pPr>
            <w:r>
              <w:rPr>
                <w:sz w:val="16"/>
                <w:szCs w:val="16"/>
              </w:rPr>
              <w:t>Страна происхождения товара</w:t>
            </w:r>
          </w:p>
        </w:tc>
        <w:tc>
          <w:tcPr>
            <w:tcW w:w="128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Кол-во</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Ед. изм.</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 xml:space="preserve">Стоимость единицы без НДС, рублей </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НДС, рублей</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suppressAutoHyphens w:val="true"/>
              <w:bidi w:val="0"/>
              <w:spacing w:before="0" w:after="0"/>
              <w:ind w:hanging="0" w:start="113" w:end="0"/>
              <w:jc w:val="center"/>
              <w:rPr>
                <w:sz w:val="16"/>
                <w:szCs w:val="16"/>
              </w:rPr>
            </w:pPr>
            <w:r>
              <w:rPr>
                <w:color w:val="000000"/>
                <w:spacing w:val="-11"/>
                <w:sz w:val="16"/>
                <w:szCs w:val="16"/>
              </w:rPr>
              <w:t>Общая стоимость с НДС, рублей</w:t>
            </w:r>
          </w:p>
        </w:tc>
      </w:tr>
      <w:tr>
        <w:trPr>
          <w:trHeight w:val="405" w:hRule="atLeast"/>
        </w:trPr>
        <w:tc>
          <w:tcPr>
            <w:tcW w:w="508" w:type="dxa"/>
            <w:tcBorders>
              <w:top w:val="single" w:sz="4" w:space="0" w:color="000000"/>
              <w:start w:val="single" w:sz="10"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t>1</w:t>
            </w:r>
          </w:p>
        </w:tc>
        <w:tc>
          <w:tcPr>
            <w:tcW w:w="5480" w:type="dxa"/>
            <w:tcBorders>
              <w:top w:val="single" w:sz="4" w:space="0" w:color="000001"/>
              <w:start w:val="single" w:sz="4" w:space="0" w:color="000001"/>
              <w:bottom w:val="single" w:sz="4" w:space="0" w:color="000000"/>
              <w:end w:val="single" w:sz="4" w:space="0" w:color="000000"/>
            </w:tcBorders>
          </w:tcPr>
          <w:p>
            <w:pPr>
              <w:pStyle w:val="Normal"/>
              <w:rPr>
                <w:b/>
                <w:bCs/>
                <w:sz w:val="16"/>
                <w:szCs w:val="16"/>
              </w:rPr>
            </w:pPr>
            <w:r>
              <w:rPr>
                <w:b/>
                <w:bCs/>
                <w:sz w:val="16"/>
                <w:szCs w:val="16"/>
              </w:rPr>
              <w:t>Блок дверной</w:t>
            </w:r>
          </w:p>
          <w:p>
            <w:pPr>
              <w:pStyle w:val="Normal"/>
              <w:rPr>
                <w:sz w:val="16"/>
                <w:szCs w:val="16"/>
              </w:rPr>
            </w:pPr>
            <w:r>
              <w:rPr>
                <w:sz w:val="16"/>
                <w:szCs w:val="16"/>
              </w:rPr>
            </w:r>
          </w:p>
          <w:p>
            <w:pPr>
              <w:pStyle w:val="Normal"/>
              <w:rPr>
                <w:sz w:val="16"/>
                <w:szCs w:val="16"/>
              </w:rPr>
            </w:pPr>
            <w:r>
              <w:rPr>
                <w:sz w:val="16"/>
                <w:szCs w:val="16"/>
              </w:rPr>
              <w:t>Материал изготовления</w:t>
              <w:tab/>
              <w:t>Деревянная</w:t>
              <w:tab/>
            </w:r>
          </w:p>
          <w:p>
            <w:pPr>
              <w:pStyle w:val="Normal"/>
              <w:rPr>
                <w:sz w:val="16"/>
                <w:szCs w:val="16"/>
              </w:rPr>
            </w:pPr>
            <w:r>
              <w:rPr>
                <w:sz w:val="16"/>
                <w:szCs w:val="16"/>
              </w:rPr>
              <w:t>Тип двери по месту установки</w:t>
              <w:tab/>
              <w:t>Внутренняя входная (В)</w:t>
              <w:tab/>
            </w:r>
          </w:p>
          <w:p>
            <w:pPr>
              <w:pStyle w:val="Normal"/>
              <w:rPr>
                <w:sz w:val="16"/>
                <w:szCs w:val="16"/>
              </w:rPr>
            </w:pPr>
            <w:r>
              <w:rPr>
                <w:sz w:val="16"/>
                <w:szCs w:val="16"/>
              </w:rPr>
              <w:t>Вид двери по форме</w:t>
              <w:tab/>
              <w:t>Прямоугольная</w:t>
              <w:tab/>
            </w:r>
          </w:p>
          <w:p>
            <w:pPr>
              <w:pStyle w:val="Normal"/>
              <w:rPr>
                <w:sz w:val="16"/>
                <w:szCs w:val="16"/>
              </w:rPr>
            </w:pPr>
            <w:r>
              <w:rPr>
                <w:sz w:val="16"/>
                <w:szCs w:val="16"/>
              </w:rPr>
              <w:t>Высота дверного полотна</w:t>
              <w:tab/>
              <w:t>≥ 2000</w:t>
              <w:tab/>
              <w:t>Миллиметр</w:t>
            </w:r>
          </w:p>
          <w:p>
            <w:pPr>
              <w:pStyle w:val="Normal"/>
              <w:rPr>
                <w:sz w:val="16"/>
                <w:szCs w:val="16"/>
              </w:rPr>
            </w:pPr>
            <w:r>
              <w:rPr>
                <w:sz w:val="16"/>
                <w:szCs w:val="16"/>
              </w:rPr>
              <w:t>Тип двери по наличию и типу порога</w:t>
              <w:tab/>
              <w:t>Без порога</w:t>
              <w:tab/>
            </w:r>
          </w:p>
          <w:p>
            <w:pPr>
              <w:pStyle w:val="Normal"/>
              <w:rPr>
                <w:sz w:val="16"/>
                <w:szCs w:val="16"/>
              </w:rPr>
            </w:pPr>
            <w:r>
              <w:rPr>
                <w:sz w:val="16"/>
                <w:szCs w:val="16"/>
              </w:rPr>
              <w:t>Тип двери по наличию остекления</w:t>
              <w:tab/>
              <w:t>Глухая</w:t>
              <w:tab/>
            </w:r>
          </w:p>
          <w:p>
            <w:pPr>
              <w:pStyle w:val="Normal"/>
              <w:rPr>
                <w:sz w:val="16"/>
                <w:szCs w:val="16"/>
              </w:rPr>
            </w:pPr>
            <w:r>
              <w:rPr>
                <w:sz w:val="16"/>
                <w:szCs w:val="16"/>
              </w:rPr>
              <w:t>Тип двери по способу открывания</w:t>
              <w:tab/>
              <w:t>Распашная</w:t>
              <w:tab/>
            </w:r>
          </w:p>
          <w:p>
            <w:pPr>
              <w:pStyle w:val="Normal"/>
              <w:rPr>
                <w:sz w:val="16"/>
                <w:szCs w:val="16"/>
              </w:rPr>
            </w:pPr>
            <w:r>
              <w:rPr>
                <w:sz w:val="16"/>
                <w:szCs w:val="16"/>
              </w:rPr>
              <w:t>Толщина дверного полотна</w:t>
              <w:tab/>
              <w:t>≥ 40  и  &lt; 50</w:t>
              <w:tab/>
              <w:t>Миллиметр</w:t>
            </w:r>
          </w:p>
          <w:p>
            <w:pPr>
              <w:pStyle w:val="Normal"/>
              <w:rPr>
                <w:sz w:val="16"/>
                <w:szCs w:val="16"/>
              </w:rPr>
            </w:pPr>
            <w:r>
              <w:rPr>
                <w:sz w:val="16"/>
                <w:szCs w:val="16"/>
              </w:rPr>
              <w:t>Ширина дверного полотна</w:t>
              <w:tab/>
              <w:t>≥ 800  и  &lt; 1000</w:t>
              <w:tab/>
              <w:t>Миллиметр</w:t>
            </w:r>
          </w:p>
          <w:p>
            <w:pPr>
              <w:pStyle w:val="Normal"/>
              <w:rPr>
                <w:sz w:val="16"/>
                <w:szCs w:val="16"/>
              </w:rPr>
            </w:pPr>
            <w:r>
              <w:rPr>
                <w:sz w:val="16"/>
                <w:szCs w:val="16"/>
              </w:rPr>
              <w:t>Дополнительные характеристики</w:t>
            </w:r>
          </w:p>
          <w:p>
            <w:pPr>
              <w:pStyle w:val="Normal"/>
              <w:rPr>
                <w:sz w:val="16"/>
                <w:szCs w:val="16"/>
              </w:rPr>
            </w:pPr>
            <w:r>
              <w:rPr>
                <w:sz w:val="16"/>
                <w:szCs w:val="16"/>
              </w:rPr>
              <w:t>Конструкция</w:t>
              <w:tab/>
              <w:t>Каркасно-щитовая или аналог</w:t>
              <w:tab/>
            </w:r>
          </w:p>
          <w:p>
            <w:pPr>
              <w:pStyle w:val="Normal"/>
              <w:rPr>
                <w:sz w:val="16"/>
                <w:szCs w:val="16"/>
              </w:rPr>
            </w:pPr>
            <w:r>
              <w:rPr>
                <w:sz w:val="16"/>
                <w:szCs w:val="16"/>
              </w:rPr>
              <w:t>Материал каркаса</w:t>
              <w:tab/>
              <w:t>Массив сосны; ДСП или МДФ</w:t>
              <w:tab/>
            </w:r>
          </w:p>
          <w:p>
            <w:pPr>
              <w:pStyle w:val="Normal"/>
              <w:rPr>
                <w:sz w:val="16"/>
                <w:szCs w:val="16"/>
              </w:rPr>
            </w:pPr>
            <w:r>
              <w:rPr>
                <w:sz w:val="16"/>
                <w:szCs w:val="16"/>
              </w:rPr>
              <w:t>Материал полотна</w:t>
              <w:tab/>
              <w:t>МДФ</w:t>
              <w:tab/>
            </w:r>
          </w:p>
          <w:p>
            <w:pPr>
              <w:pStyle w:val="Normal"/>
              <w:rPr>
                <w:sz w:val="16"/>
                <w:szCs w:val="16"/>
              </w:rPr>
            </w:pPr>
            <w:r>
              <w:rPr>
                <w:sz w:val="16"/>
                <w:szCs w:val="16"/>
              </w:rPr>
              <w:t>Покрытие полотна</w:t>
              <w:tab/>
              <w:t>Окрашенное</w:t>
              <w:tab/>
            </w:r>
          </w:p>
          <w:p>
            <w:pPr>
              <w:pStyle w:val="Normal"/>
              <w:rPr>
                <w:sz w:val="16"/>
                <w:szCs w:val="16"/>
              </w:rPr>
            </w:pPr>
            <w:r>
              <w:rPr>
                <w:sz w:val="16"/>
                <w:szCs w:val="16"/>
              </w:rPr>
              <w:t>Цвет</w:t>
              <w:tab/>
              <w:t>Белый</w:t>
              <w:tab/>
            </w:r>
          </w:p>
          <w:p>
            <w:pPr>
              <w:pStyle w:val="Normal"/>
              <w:rPr>
                <w:sz w:val="16"/>
                <w:szCs w:val="16"/>
              </w:rPr>
            </w:pPr>
            <w:r>
              <w:rPr>
                <w:sz w:val="16"/>
                <w:szCs w:val="16"/>
              </w:rPr>
              <w:t>Комплектация: Петли — не менее 2 шт.,</w:t>
            </w:r>
          </w:p>
          <w:p>
            <w:pPr>
              <w:pStyle w:val="Normal"/>
              <w:rPr>
                <w:sz w:val="16"/>
                <w:szCs w:val="16"/>
              </w:rPr>
            </w:pPr>
            <w:r>
              <w:rPr>
                <w:sz w:val="16"/>
                <w:szCs w:val="16"/>
              </w:rPr>
              <w:t>замок врезной — не менее 1 шт.,</w:t>
            </w:r>
          </w:p>
          <w:p>
            <w:pPr>
              <w:pStyle w:val="Normal"/>
              <w:rPr>
                <w:sz w:val="16"/>
                <w:szCs w:val="16"/>
              </w:rPr>
            </w:pPr>
            <w:r>
              <w:rPr>
                <w:sz w:val="16"/>
                <w:szCs w:val="16"/>
              </w:rPr>
              <w:t>ручка межкомнатная — не менее 1 шт.,</w:t>
            </w:r>
          </w:p>
          <w:p>
            <w:pPr>
              <w:pStyle w:val="Normal"/>
              <w:rPr>
                <w:sz w:val="16"/>
                <w:szCs w:val="16"/>
              </w:rPr>
            </w:pPr>
            <w:r>
              <w:rPr>
                <w:sz w:val="16"/>
                <w:szCs w:val="16"/>
              </w:rPr>
              <w:t>дверной короб — не мене 1 шт.,</w:t>
            </w:r>
          </w:p>
          <w:p>
            <w:pPr>
              <w:pStyle w:val="Normal"/>
              <w:rPr>
                <w:sz w:val="16"/>
                <w:szCs w:val="16"/>
              </w:rPr>
            </w:pPr>
            <w:r>
              <w:rPr>
                <w:sz w:val="16"/>
                <w:szCs w:val="16"/>
              </w:rPr>
              <w:t>ключевой цилиндр с накладкой на цилиндр — не мене 1 шт.,</w:t>
            </w:r>
          </w:p>
          <w:p>
            <w:pPr>
              <w:pStyle w:val="Normal"/>
              <w:rPr>
                <w:sz w:val="16"/>
                <w:szCs w:val="16"/>
              </w:rPr>
            </w:pPr>
            <w:r>
              <w:rPr>
                <w:sz w:val="16"/>
                <w:szCs w:val="16"/>
              </w:rPr>
              <w:t>наличник плоский прямой — не менее 5 шт.</w:t>
            </w:r>
          </w:p>
          <w:p>
            <w:pPr>
              <w:pStyle w:val="Normal"/>
              <w:rPr>
                <w:sz w:val="16"/>
                <w:szCs w:val="16"/>
              </w:rPr>
            </w:pPr>
            <w:r>
              <w:rPr>
                <w:sz w:val="16"/>
                <w:szCs w:val="16"/>
              </w:rPr>
            </w:r>
          </w:p>
          <w:p>
            <w:pPr>
              <w:pStyle w:val="Normal"/>
              <w:rPr>
                <w:sz w:val="16"/>
                <w:szCs w:val="16"/>
              </w:rPr>
            </w:pPr>
            <w:r>
              <w:rPr>
                <w:sz w:val="16"/>
                <w:szCs w:val="16"/>
              </w:rPr>
              <w:t>ОКПД2 16.23.11.130</w:t>
              <w:tab/>
            </w:r>
          </w:p>
        </w:tc>
        <w:tc>
          <w:tcPr>
            <w:tcW w:w="1558" w:type="dxa"/>
            <w:gridSpan w:val="3"/>
            <w:tcBorders>
              <w:top w:val="single" w:sz="4" w:space="0" w:color="000000"/>
              <w:start w:val="single" w:sz="4" w:space="0" w:color="000000"/>
              <w:bottom w:val="single" w:sz="4" w:space="0" w:color="000000"/>
              <w:end w:val="single" w:sz="4" w:space="0" w:color="000000"/>
            </w:tcBorders>
            <w:shd w:color="FFFFFF" w:fill="auto" w:val="clear"/>
          </w:tcPr>
          <w:p>
            <w:pPr>
              <w:pStyle w:val="Normal"/>
              <w:jc w:val="center"/>
              <w:rPr>
                <w:sz w:val="16"/>
                <w:szCs w:val="16"/>
                <w:lang w:val="en-US"/>
              </w:rPr>
            </w:pPr>
            <w:r>
              <w:rPr>
                <w:sz w:val="16"/>
                <w:szCs w:val="16"/>
                <w:lang w:val="en-US"/>
              </w:rPr>
            </w:r>
          </w:p>
        </w:tc>
        <w:tc>
          <w:tcPr>
            <w:tcW w:w="1281" w:type="dxa"/>
            <w:gridSpan w:val="2"/>
            <w:tcBorders>
              <w:top w:val="single" w:sz="4" w:space="0" w:color="000001"/>
              <w:start w:val="single" w:sz="4" w:space="0" w:color="000001"/>
              <w:bottom w:val="single" w:sz="4" w:space="0" w:color="000000"/>
            </w:tcBorders>
          </w:tcPr>
          <w:p>
            <w:pPr>
              <w:pStyle w:val="Normal"/>
              <w:jc w:val="center"/>
              <w:rPr>
                <w:sz w:val="16"/>
                <w:szCs w:val="16"/>
                <w:lang w:val="en-US"/>
              </w:rPr>
            </w:pPr>
            <w:r>
              <w:rPr>
                <w:sz w:val="16"/>
                <w:szCs w:val="16"/>
                <w:lang w:val="en-US"/>
              </w:rPr>
              <w:t>2</w:t>
            </w:r>
          </w:p>
        </w:tc>
        <w:tc>
          <w:tcPr>
            <w:tcW w:w="1558" w:type="dxa"/>
            <w:tcBorders>
              <w:top w:val="single" w:sz="4" w:space="0" w:color="000001"/>
              <w:start w:val="single" w:sz="4" w:space="0" w:color="000001"/>
              <w:bottom w:val="single" w:sz="4" w:space="0" w:color="000000"/>
            </w:tcBorders>
          </w:tcPr>
          <w:p>
            <w:pPr>
              <w:pStyle w:val="Normal"/>
              <w:jc w:val="center"/>
              <w:rPr>
                <w:sz w:val="16"/>
                <w:szCs w:val="16"/>
              </w:rPr>
            </w:pPr>
            <w:r>
              <w:rPr>
                <w:sz w:val="16"/>
                <w:szCs w:val="16"/>
              </w:rPr>
              <w:t>штука</w:t>
            </w:r>
          </w:p>
        </w:tc>
        <w:tc>
          <w:tcPr>
            <w:tcW w:w="1419"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r>
          </w:p>
        </w:tc>
        <w:tc>
          <w:tcPr>
            <w:tcW w:w="1558"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spacing w:lineRule="atLeast" w:line="57"/>
              <w:jc w:val="center"/>
              <w:rPr>
                <w:sz w:val="16"/>
                <w:szCs w:val="16"/>
                <w:highlight w:val="yellow"/>
              </w:rPr>
            </w:pPr>
            <w:r>
              <w:rPr>
                <w:sz w:val="16"/>
                <w:szCs w:val="16"/>
                <w:highlight w:val="yellow"/>
              </w:rPr>
            </w:r>
          </w:p>
        </w:tc>
        <w:tc>
          <w:tcPr>
            <w:tcW w:w="2030" w:type="dxa"/>
            <w:tcBorders>
              <w:top w:val="single" w:sz="4" w:space="0" w:color="000000"/>
              <w:start w:val="single" w:sz="4" w:space="0" w:color="000000"/>
              <w:bottom w:val="single" w:sz="4" w:space="0" w:color="000000"/>
              <w:end w:val="single" w:sz="10" w:space="0" w:color="000000"/>
            </w:tcBorders>
            <w:shd w:color="FFFFFF" w:fill="auto" w:val="clear"/>
            <w:vAlign w:val="center"/>
          </w:tcPr>
          <w:p>
            <w:pPr>
              <w:pStyle w:val="Normal"/>
              <w:widowControl/>
              <w:suppressAutoHyphens w:val="true"/>
              <w:bidi w:val="0"/>
              <w:spacing w:lineRule="atLeast" w:line="57" w:before="0" w:after="0"/>
              <w:ind w:hanging="0" w:start="0" w:end="227"/>
              <w:jc w:val="center"/>
              <w:rPr>
                <w:b/>
                <w:bCs/>
                <w:sz w:val="16"/>
                <w:szCs w:val="16"/>
                <w:highlight w:val="yellow"/>
              </w:rPr>
            </w:pPr>
            <w:r>
              <w:rPr>
                <w:b/>
                <w:bCs/>
                <w:sz w:val="16"/>
                <w:szCs w:val="16"/>
                <w:highlight w:val="yellow"/>
              </w:rPr>
            </w:r>
          </w:p>
        </w:tc>
      </w:tr>
      <w:tr>
        <w:trPr>
          <w:trHeight w:val="243" w:hRule="atLeast"/>
        </w:trPr>
        <w:tc>
          <w:tcPr>
            <w:tcW w:w="13362" w:type="dxa"/>
            <w:gridSpan w:val="10"/>
            <w:tcBorders>
              <w:top w:val="single" w:sz="4" w:space="0" w:color="000000"/>
              <w:start w:val="single" w:sz="4" w:space="0" w:color="000000"/>
              <w:bottom w:val="single" w:sz="4" w:space="0" w:color="000000"/>
              <w:end w:val="single" w:sz="4" w:space="0" w:color="000000"/>
            </w:tcBorders>
          </w:tcPr>
          <w:p>
            <w:pPr>
              <w:pStyle w:val="Normal"/>
              <w:jc w:val="end"/>
              <w:rPr>
                <w:b/>
                <w:bCs/>
                <w:highlight w:val="yellow"/>
              </w:rPr>
            </w:pPr>
            <w:r>
              <w:rPr>
                <w:b/>
                <w:bCs/>
                <w:highlight w:val="yellow"/>
              </w:rPr>
              <w:t>ИТОГО:</w:t>
            </w:r>
          </w:p>
        </w:tc>
        <w:tc>
          <w:tcPr>
            <w:tcW w:w="2030" w:type="dxa"/>
            <w:tcBorders>
              <w:top w:val="single" w:sz="4" w:space="0" w:color="000000"/>
              <w:start w:val="single" w:sz="4" w:space="0" w:color="000000"/>
              <w:bottom w:val="single" w:sz="4" w:space="0" w:color="000000"/>
              <w:end w:val="single" w:sz="4" w:space="0" w:color="000000"/>
            </w:tcBorders>
          </w:tcPr>
          <w:p>
            <w:pPr>
              <w:pStyle w:val="Normal"/>
              <w:jc w:val="center"/>
              <w:rPr>
                <w:b/>
                <w:bCs/>
                <w:highlight w:val="yellow"/>
              </w:rPr>
            </w:pPr>
            <w:r>
              <w:rPr>
                <w:b/>
                <w:bCs/>
                <w:highlight w:val="yellow"/>
              </w:rPr>
            </w:r>
          </w:p>
        </w:tc>
      </w:tr>
      <w:tr>
        <w:trPr>
          <w:trHeight w:val="1877" w:hRule="atLeast"/>
        </w:trPr>
        <w:tc>
          <w:tcPr>
            <w:tcW w:w="6392"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м.п.</w:t>
            </w:r>
            <w:r>
              <w:rPr>
                <w:rFonts w:cs="Times New Roman" w:ascii="Times New Roman" w:hAnsi="Times New Roman"/>
                <w:sz w:val="20"/>
                <w:szCs w:val="20"/>
              </w:rPr>
              <w:t xml:space="preserve"> </w:t>
            </w:r>
          </w:p>
        </w:tc>
        <w:tc>
          <w:tcPr>
            <w:tcW w:w="1131" w:type="dxa"/>
            <w:tcBorders/>
          </w:tcPr>
          <w:p>
            <w:pPr>
              <w:pStyle w:val="Normal"/>
              <w:tabs>
                <w:tab w:val="clear" w:pos="708"/>
                <w:tab w:val="left" w:pos="7680" w:leader="none"/>
              </w:tabs>
              <w:rPr>
                <w:b/>
                <w:color w:val="000000"/>
              </w:rPr>
            </w:pPr>
            <w:r>
              <w:rPr>
                <w:b/>
                <w:color w:val="000000"/>
              </w:rPr>
            </w:r>
          </w:p>
        </w:tc>
        <w:tc>
          <w:tcPr>
            <w:tcW w:w="242" w:type="dxa"/>
            <w:gridSpan w:val="2"/>
            <w:tcBorders/>
          </w:tcPr>
          <w:p>
            <w:pPr>
              <w:pStyle w:val="Normal"/>
              <w:tabs>
                <w:tab w:val="clear" w:pos="708"/>
                <w:tab w:val="left" w:pos="7680" w:leader="none"/>
              </w:tabs>
              <w:rPr>
                <w:b/>
                <w:color w:val="000000"/>
              </w:rPr>
            </w:pPr>
            <w:r>
              <w:rPr>
                <w:b/>
                <w:color w:val="000000"/>
              </w:rPr>
            </w:r>
          </w:p>
        </w:tc>
        <w:tc>
          <w:tcPr>
            <w:tcW w:w="2620" w:type="dxa"/>
            <w:gridSpan w:val="2"/>
            <w:tcBorders/>
          </w:tcPr>
          <w:p>
            <w:pPr>
              <w:pStyle w:val="Normal"/>
              <w:tabs>
                <w:tab w:val="clear" w:pos="708"/>
                <w:tab w:val="left" w:pos="7680" w:leader="none"/>
              </w:tabs>
              <w:rPr>
                <w:b/>
                <w:color w:val="000000"/>
              </w:rPr>
            </w:pPr>
            <w:r>
              <w:rPr>
                <w:b/>
                <w:color w:val="000000"/>
              </w:rPr>
            </w:r>
          </w:p>
        </w:tc>
        <w:tc>
          <w:tcPr>
            <w:tcW w:w="5007"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rFonts w:eastAsia="Calibri"/>
          <w:b/>
          <w:bCs/>
          <w:lang w:eastAsia="en-US"/>
        </w:rPr>
      </w:r>
    </w:p>
    <w:p>
      <w:pPr>
        <w:pStyle w:val="Normal"/>
        <w:spacing w:before="0" w:after="60"/>
        <w:jc w:val="end"/>
        <w:rPr>
          <w:b/>
          <w:bCs/>
        </w:rPr>
      </w:pPr>
      <w:r>
        <w:rPr/>
        <w:t xml:space="preserve">                                                                                                                        </w:t>
      </w:r>
      <w:bookmarkEnd w:id="9"/>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basedOn w:val="DefaultParagraphFont"/>
    <w:uiPriority w:val="99"/>
    <w:unhideWhenUsed/>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basedOn w:val="DefaultParagraphFont"/>
    <w:uiPriority w:val="99"/>
    <w:semiHidden/>
    <w:unhideWhenUsed/>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user2"/>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4">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user5">
    <w:name w:val="Содержимое врезки (user)"/>
    <w:basedOn w:val="Normal"/>
    <w:qFormat/>
    <w:pPr/>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user6"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LibreOffice/25.8.3.2$Linux_X86_64 LibreOffice_project/580$Build-2</Application>
  <AppVersion>15.0000</AppVersion>
  <Pages>6</Pages>
  <Words>3103</Words>
  <Characters>22213</Characters>
  <CharactersWithSpaces>25667</CharactersWithSpaces>
  <Paragraphs>184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2026-10-27T09:57:28Z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