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t xml:space="preserve">Контракт № </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 — Кузбасс, г. Кемерово</w:t>
      </w:r>
      <w:r>
        <w:rPr>
          <w:b/>
          <w:bCs/>
          <w:color w:val="000000"/>
        </w:rPr>
        <w:t xml:space="preserve">                                                                       </w:t>
      </w:r>
      <w:bookmarkStart w:id="0" w:name="_Hlk159928058"/>
      <w:r>
        <w:rPr>
          <w:b/>
          <w:bCs/>
          <w:color w:val="000000"/>
        </w:rPr>
        <w:t xml:space="preserve">                   </w:t>
      </w:r>
      <w:r>
        <w:rPr/>
        <w:t>« __» октября 2026г.</w:t>
      </w:r>
      <w:bookmarkEnd w:id="0"/>
    </w:p>
    <w:p>
      <w:pPr>
        <w:pStyle w:val="Normal"/>
        <w:spacing w:before="0" w:after="60"/>
        <w:jc w:val="both"/>
        <w:rPr/>
      </w:pPr>
      <w:r>
        <w:rPr/>
      </w:r>
    </w:p>
    <w:p>
      <w:pPr>
        <w:pStyle w:val="Normal"/>
        <w:jc w:val="both"/>
        <w:rPr/>
      </w:pPr>
      <w:bookmarkStart w:id="1"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1"/>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от 08.06.2026 г., именуемое в дальнейшем «Заказчик», с одной стороны, _____________________, именуемый в дальнейшем «Поставщик», с другой стороны, на основании пункта 4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1. Предмет </w:t>
      </w:r>
      <w:r>
        <w:rPr>
          <w:b/>
          <w:bCs/>
        </w:rPr>
        <w:t>Контракта</w:t>
      </w:r>
    </w:p>
    <w:p>
      <w:pPr>
        <w:pStyle w:val="Normal"/>
        <w:numPr>
          <w:ilvl w:val="0"/>
          <w:numId w:val="0"/>
        </w:numPr>
        <w:ind w:hanging="0" w:start="0"/>
        <w:jc w:val="both"/>
        <w:outlineLvl w:val="0"/>
        <w:rPr>
          <w:b/>
          <w:bCs/>
        </w:rPr>
      </w:pPr>
      <w:r>
        <w:rPr/>
        <w:t>1.1. Поставщик по настоящему Контракт</w:t>
      </w:r>
      <w:r>
        <w:rPr>
          <w:bCs/>
        </w:rPr>
        <w:t>у</w:t>
      </w:r>
      <w:r>
        <w:rPr/>
        <w:t xml:space="preserve"> обязуется поставить товар: </w:t>
      </w:r>
      <w:r>
        <w:rPr>
          <w:b/>
          <w:bCs/>
        </w:rPr>
        <w:t>Набор первой медицинской помощи, не содержащий лекарственные средства, одноразового использования</w:t>
      </w:r>
      <w:bookmarkStart w:id="2" w:name="_Hlk174882135"/>
      <w:r>
        <w:rPr/>
        <w:t xml:space="preserve"> </w:t>
      </w:r>
      <w:bookmarkEnd w:id="2"/>
      <w:r>
        <w:rPr/>
        <w:t xml:space="preserve">и передать его Заказчику, а Заказчик по настоящему </w:t>
      </w:r>
      <w:r>
        <w:rPr>
          <w:bCs/>
        </w:rPr>
        <w:t>Контракту</w:t>
      </w:r>
      <w:r>
        <w:rPr/>
        <w:t xml:space="preserve"> обязуется принять и оплатить поставленную Поставщиком продукцию (далее – Товар). Наименование и количество Товара устанавливается настоящим </w:t>
      </w:r>
      <w:r>
        <w:rPr>
          <w:bCs/>
        </w:rPr>
        <w:t xml:space="preserve">Контрактом </w:t>
      </w:r>
      <w:r>
        <w:rPr/>
        <w:t xml:space="preserve">и спецификацией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(_____________ рублей ___ копеек).  НДС не предусмотрен</w:t>
      </w:r>
      <w:r>
        <w:rPr>
          <w:shd w:fill="FFFFFF" w:val="clear"/>
        </w:rPr>
        <w:t xml:space="preserve"> в связи с применением Поставщиком упрощенной системы налогообложения</w:t>
      </w:r>
      <w:r>
        <w:rPr/>
        <w:t xml:space="preserve">. </w:t>
      </w:r>
      <w:r>
        <w:rPr>
          <w:bCs/>
        </w:rPr>
        <w:t xml:space="preserve"> </w:t>
      </w:r>
      <w:r>
        <w:rPr/>
        <w:t>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pPr>
        <w:pStyle w:val="Normal"/>
        <w:widowControl w:val="false"/>
        <w:jc w:val="both"/>
        <w:rPr/>
      </w:pPr>
      <w:r>
        <w:rPr/>
        <w:t xml:space="preserve">2.2. Цена Контракта является твердой и определяется на весь срок исполнения Контракта. </w:t>
      </w:r>
    </w:p>
    <w:p>
      <w:pPr>
        <w:pStyle w:val="BodyTextIndent"/>
        <w:tabs>
          <w:tab w:val="clear" w:pos="708"/>
          <w:tab w:val="left" w:pos="540" w:leader="none"/>
        </w:tabs>
        <w:ind w:hanging="0"/>
        <w:rPr>
          <w:lang w:val="ru-RU"/>
        </w:rPr>
      </w:pPr>
      <w:r>
        <w:rPr>
          <w:lang w:val="ru-RU"/>
        </w:rPr>
        <w:t xml:space="preserve">2.3. </w:t>
      </w:r>
      <w:r>
        <w:rPr>
          <w:rFonts w:eastAsia="Times New Roman"/>
          <w:color w:themeColor="text1" w:val="000000"/>
          <w:lang w:val="ru-RU"/>
        </w:rPr>
        <w:t>Расчет по настоящему Контракту производится Заказчиком в течение ______ рабочих дней с момента приемки товара по качеству на основании подписанного Заказчиком и Поставщиком Акта приемки (ф. 0510452), счет-фактуры (УПД) или товарной накладной</w:t>
      </w:r>
      <w:r>
        <w:rPr>
          <w:rFonts w:eastAsia="Times New Roman"/>
          <w:color w:themeColor="text1" w:val="000000"/>
          <w:sz w:val="24"/>
          <w:lang w:val="ru-RU"/>
        </w:rPr>
        <w:t>.</w:t>
      </w:r>
    </w:p>
    <w:p>
      <w:pPr>
        <w:pStyle w:val="BodyTextIndent"/>
        <w:tabs>
          <w:tab w:val="clear" w:pos="708"/>
          <w:tab w:val="left" w:pos="540" w:leader="none"/>
        </w:tabs>
        <w:ind w:hanging="0"/>
        <w:rPr>
          <w:lang w:val="ru-RU"/>
        </w:rPr>
      </w:pPr>
      <w:r>
        <w:rPr>
          <w:lang w:val="ru-RU"/>
        </w:rPr>
        <w:t xml:space="preserve">2.4. </w:t>
      </w:r>
      <w:bookmarkStart w:id="3"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3"/>
    </w:p>
    <w:p>
      <w:pPr>
        <w:pStyle w:val="Normal"/>
        <w:jc w:val="both"/>
        <w:rPr>
          <w:rFonts w:eastAsia="Calibri"/>
        </w:rPr>
      </w:pPr>
      <w:r>
        <w:rPr/>
        <w:t>2.5.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 ф. 0510452) в порядке и сроки, предусмотренные Контрактом.  3.2.4 Требовать уплаты неустойки (штрафа, пени) в соответствии с разделом 8 Контракта.</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pPr>
      <w:r>
        <w:rPr/>
        <w:t xml:space="preserve">4.1. Поставка товара осуществляется </w:t>
      </w:r>
      <w:r>
        <w:rPr/>
        <w:t>с 11.01.2027г. по 31.03.2027г. включительно.</w:t>
      </w:r>
    </w:p>
    <w:p>
      <w:pPr>
        <w:pStyle w:val="Normal"/>
        <w:shd w:val="clear" w:color="auto" w:fill="FFFFFF"/>
        <w:tabs>
          <w:tab w:val="clear" w:pos="708"/>
          <w:tab w:val="left" w:pos="0" w:leader="none"/>
          <w:tab w:val="left" w:pos="900" w:leader="none"/>
        </w:tabs>
        <w:jc w:val="both"/>
        <w:rPr/>
      </w:pPr>
      <w:r>
        <w:rPr/>
        <w:t>4.2. Поставка Товара осуществляется за счет Поставщика на франко-склад Заказчика по адресу: 650002, г. Кемерово, бульвар имени академика Л.С. Барбараша, стр. 6</w:t>
      </w:r>
      <w:r>
        <w:rPr>
          <w:bCs/>
        </w:rPr>
        <w:t xml:space="preserve"> в рабочие дни с 8-00 до 15-00.</w:t>
      </w:r>
    </w:p>
    <w:p>
      <w:pPr>
        <w:pStyle w:val="Normal"/>
        <w:shd w:val="clear" w:color="auto" w:fill="FFFFFF"/>
        <w:tabs>
          <w:tab w:val="clear" w:pos="708"/>
          <w:tab w:val="left" w:pos="0" w:leader="none"/>
          <w:tab w:val="left" w:pos="900" w:leader="none"/>
        </w:tabs>
        <w:jc w:val="both"/>
        <w:rPr>
          <w:color w:themeColor="text1" w:val="000000"/>
        </w:rPr>
      </w:pPr>
      <w:r>
        <w:rPr/>
        <w:t xml:space="preserve">4.3. </w:t>
      </w:r>
      <w:r>
        <w:rPr>
          <w:color w:themeColor="text1" w:val="000000"/>
        </w:rPr>
        <w:t>Датой поставки Товара считается дата подписания Заказчиком счет-фактуры (УПД) или товарной накладной.</w:t>
      </w:r>
    </w:p>
    <w:p>
      <w:pPr>
        <w:pStyle w:val="Normal"/>
        <w:jc w:val="both"/>
        <w:rPr>
          <w:color w:themeColor="text1" w:val="000000"/>
        </w:rPr>
      </w:pPr>
      <w:r>
        <w:rPr>
          <w:color w:themeColor="text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text1" w:val="000000"/>
        </w:rPr>
        <w:t> </w:t>
      </w:r>
      <w:r>
        <w:rPr>
          <w:color w:themeColor="text1" w:val="000000"/>
        </w:rPr>
        <w:t>- Счет-фактура – 2 экз. или Универсальный передаточный документ (УПД)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Normal"/>
        <w:jc w:val="both"/>
        <w:rPr>
          <w:rFonts w:eastAsia="Calibri"/>
        </w:rPr>
      </w:pPr>
      <w:r>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Normal"/>
        <w:jc w:val="both"/>
        <w:rPr/>
      </w:pPr>
      <w:r>
        <w:rPr/>
        <w:t xml:space="preserve">5.2. В течение 5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Normal"/>
        <w:jc w:val="both"/>
        <w:rPr>
          <w:rFonts w:eastAsia="Calibri"/>
        </w:rPr>
      </w:pPr>
      <w:r>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Normal"/>
        <w:jc w:val="both"/>
        <w:rPr>
          <w:rFonts w:eastAsia="Calibri"/>
        </w:rPr>
      </w:pPr>
      <w:r>
        <w:rPr/>
        <w:t xml:space="preserve">5.3. По результатам приемки Комиссия по приемке, при отсутствии замечаний к Товару и расхождений, составляет и подписывает Акт приемки (ф.0510452).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Normal"/>
        <w:jc w:val="both"/>
        <w:rPr>
          <w:rFonts w:eastAsia="Calibri"/>
        </w:rPr>
      </w:pPr>
      <w:r>
        <w:rPr/>
        <w:t xml:space="preserve">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w:t>
      </w:r>
    </w:p>
    <w:p>
      <w:pPr>
        <w:pStyle w:val="Normal"/>
        <w:jc w:val="both"/>
        <w:rPr>
          <w:rFonts w:eastAsia="Calibri"/>
        </w:rPr>
      </w:pPr>
      <w:r>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Normal"/>
        <w:jc w:val="both"/>
        <w:rPr>
          <w:rFonts w:eastAsia="Calibri"/>
        </w:rPr>
      </w:pPr>
      <w:r>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Normal"/>
        <w:jc w:val="both"/>
        <w:rPr>
          <w:rFonts w:eastAsia="Calibri"/>
        </w:rPr>
      </w:pPr>
      <w:r>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Normal"/>
        <w:jc w:val="both"/>
        <w:rPr>
          <w:rFonts w:eastAsia="Calibri"/>
        </w:rPr>
      </w:pPr>
      <w:r>
        <w:rPr/>
        <w:t>5.7. Обязательства Поставщика по поставке Товара считаются выполненными Поставщиком после утверждения Заказчиком Акта приемки (ф. 0510452).</w:t>
      </w:r>
    </w:p>
    <w:p>
      <w:pPr>
        <w:pStyle w:val="BodyTextIndent"/>
        <w:ind w:hanging="0"/>
        <w:jc w:val="center"/>
        <w:rPr>
          <w:b/>
          <w:lang w:val="ru-RU"/>
        </w:rPr>
      </w:pPr>
      <w:r>
        <w:rPr>
          <w:b/>
          <w:lang w:val="ru-RU"/>
        </w:rPr>
        <w:t>6. Гарантия качества</w:t>
      </w:r>
    </w:p>
    <w:p>
      <w:pPr>
        <w:pStyle w:val="Normal"/>
        <w:numPr>
          <w:ilvl w:val="0"/>
          <w:numId w:val="0"/>
        </w:numPr>
        <w:ind w:hanging="0" w:start="0"/>
        <w:jc w:val="both"/>
        <w:outlineLvl w:val="1"/>
        <w:rPr/>
      </w:pPr>
      <w:r>
        <w:rPr/>
        <w:t xml:space="preserve">6.1. Качество поставляемого товара должно соответствовать требованиям законодательства Российской Федерации, </w:t>
      </w:r>
      <w:r>
        <w:rPr/>
        <w:t xml:space="preserve">в том числе утвержденными приказом Министерства здравоохранения Российской Федерации от 24.05.2024 № 262н «Об утверждении требований к комплектации аптечки для оказания работниками первой помощи пострадавшим с применением медицинских изделий», </w:t>
      </w:r>
      <w:r>
        <w:rPr/>
        <w:t>техническим характеристикам, указанным в Приложении №1 к Контракту.</w:t>
      </w:r>
    </w:p>
    <w:p>
      <w:pPr>
        <w:pStyle w:val="Normal"/>
        <w:jc w:val="both"/>
        <w:rPr/>
      </w:pPr>
      <w:r>
        <w:rPr/>
        <w:t>6.2. Товар должен быть новым, изготовленным не раньше 3 квартала 2026 года, иметь маркировку с указанием даты комплектации и срока годности.</w:t>
      </w:r>
    </w:p>
    <w:p>
      <w:pPr>
        <w:pStyle w:val="Normal"/>
        <w:jc w:val="both"/>
        <w:rPr/>
      </w:pPr>
      <w:r>
        <w:rPr/>
        <w:t xml:space="preserve">6.3. </w:t>
      </w:r>
      <w:r>
        <w:rPr/>
        <w:t>Остаточный срок годности</w:t>
      </w:r>
      <w:bookmarkStart w:id="6" w:name="_Hlk177570061"/>
      <w:r>
        <w:rPr/>
        <w:t xml:space="preserve"> на Товар не менее 12 месяцев с момента приемки товара.</w:t>
      </w:r>
      <w:bookmarkEnd w:id="6"/>
    </w:p>
    <w:p>
      <w:pPr>
        <w:pStyle w:val="Normal"/>
        <w:jc w:val="both"/>
        <w:rPr/>
      </w:pPr>
      <w:r>
        <w:rPr/>
        <w:t xml:space="preserve">6.4.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w:t>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jc w:val="center"/>
        <w:rPr>
          <w:b/>
        </w:rPr>
      </w:pPr>
      <w:r>
        <w:rPr>
          <w:b/>
        </w:rPr>
        <w:t>8. Ответственность сторон</w:t>
      </w:r>
    </w:p>
    <w:p>
      <w:pPr>
        <w:pStyle w:val="Normal"/>
        <w:jc w:val="both"/>
        <w:rPr/>
      </w:pPr>
      <w:r>
        <w:rPr/>
        <w:t xml:space="preserve">8.1. </w:t>
      </w:r>
      <w:bookmarkStart w:id="7"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rPr>
        <w:t>000,00</w:t>
      </w:r>
      <w:r>
        <w:rPr/>
        <w:t xml:space="preserve"> руб. и составляет 10% от цены настоящего Контрактом.</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Контрактом.</w:t>
      </w:r>
    </w:p>
    <w:p>
      <w:pPr>
        <w:pStyle w:val="Normal"/>
        <w:ind w:start="360"/>
        <w:jc w:val="both"/>
        <w:rPr/>
      </w:pPr>
      <w:r>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 xml:space="preserve">Настоящий Контракт вступает в силу с момента заключения и действует до </w:t>
      </w:r>
      <w:r>
        <w:rPr>
          <w:rFonts w:ascii="Times New Roman" w:hAnsi="Times New Roman"/>
          <w:sz w:val="20"/>
          <w:szCs w:val="20"/>
        </w:rPr>
        <w:t>30.04.2027</w:t>
      </w:r>
      <w:r>
        <w:rPr>
          <w:rFonts w:ascii="Times New Roman" w:hAnsi="Times New Roman"/>
          <w:sz w:val="20"/>
          <w:szCs w:val="20"/>
        </w:rPr>
        <w:t>г., а в части оплаты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30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Поставщиком и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Контракта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Контракта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end="-142"/>
        <w:jc w:val="both"/>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end="-142"/>
        <w:jc w:val="both"/>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end="-142"/>
        <w:jc w:val="both"/>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договору.</w:t>
      </w:r>
    </w:p>
    <w:p>
      <w:pPr>
        <w:pStyle w:val="Normal"/>
        <w:tabs>
          <w:tab w:val="clear" w:pos="708"/>
          <w:tab w:val="left" w:pos="540" w:leader="none"/>
        </w:tabs>
        <w:ind w:end="-142"/>
        <w:jc w:val="both"/>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end="-142"/>
        <w:jc w:val="both"/>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end="-142"/>
        <w:jc w:val="both"/>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end="-142"/>
        <w:jc w:val="both"/>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end="-142"/>
        <w:jc w:val="both"/>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end="-142"/>
        <w:jc w:val="both"/>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end="-142"/>
        <w:jc w:val="both"/>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end="-142"/>
        <w:jc w:val="both"/>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5634"/>
        <w:gridCol w:w="4822"/>
      </w:tblGrid>
      <w:tr>
        <w:trPr>
          <w:trHeight w:val="7632" w:hRule="atLeast"/>
        </w:trPr>
        <w:tc>
          <w:tcPr>
            <w:tcW w:w="5634" w:type="dxa"/>
            <w:tcBorders/>
          </w:tcPr>
          <w:p>
            <w:pPr>
              <w:pStyle w:val="Normal"/>
              <w:numPr>
                <w:ilvl w:val="0"/>
                <w:numId w:val="0"/>
              </w:numPr>
              <w:ind w:hanging="0" w:start="0"/>
              <w:jc w:val="both"/>
              <w:outlineLvl w:val="5"/>
              <w:rPr>
                <w:b/>
                <w:iCs/>
              </w:rPr>
            </w:pPr>
            <w:r>
              <w:rPr>
                <w:b/>
                <w:iCs/>
              </w:rPr>
            </w:r>
          </w:p>
          <w:p>
            <w:pPr>
              <w:pStyle w:val="Normal"/>
              <w:numPr>
                <w:ilvl w:val="0"/>
                <w:numId w:val="0"/>
              </w:numPr>
              <w:ind w:hanging="0" w:start="0"/>
              <w:jc w:val="both"/>
              <w:outlineLvl w:val="5"/>
              <w:rPr>
                <w:b/>
                <w:iCs/>
              </w:rPr>
            </w:pPr>
            <w:r>
              <w:rPr>
                <w:b/>
                <w:iCs/>
              </w:rPr>
              <w:t>Заказчик:</w:t>
            </w:r>
          </w:p>
          <w:p>
            <w:pPr>
              <w:pStyle w:val="Normal"/>
              <w:numPr>
                <w:ilvl w:val="0"/>
                <w:numId w:val="0"/>
              </w:numPr>
              <w:ind w:hanging="0" w:start="0"/>
              <w:jc w:val="both"/>
              <w:outlineLvl w:val="5"/>
              <w:rPr>
                <w:b/>
                <w:iCs/>
              </w:rPr>
            </w:pPr>
            <w:r>
              <w:rPr>
                <w:b/>
                <w:iCs/>
              </w:rPr>
            </w:r>
          </w:p>
          <w:p>
            <w:pPr>
              <w:pStyle w:val="Normal"/>
              <w:jc w:val="both"/>
              <w:rPr/>
            </w:pPr>
            <w:r>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jc w:val="both"/>
              <w:rPr/>
            </w:pPr>
            <w:r>
              <w:rPr/>
              <w:t>Юридический и фактический адрес:</w:t>
            </w:r>
          </w:p>
          <w:p>
            <w:pPr>
              <w:pStyle w:val="Normal"/>
              <w:jc w:val="both"/>
              <w:rPr/>
            </w:pPr>
            <w:r>
              <w:rPr/>
              <w:t>650002, г. Кемерово, бульвар имени академика Л.С. Барбараша, стр. 6</w:t>
            </w:r>
          </w:p>
          <w:p>
            <w:pPr>
              <w:pStyle w:val="Normal"/>
              <w:jc w:val="both"/>
              <w:rPr/>
            </w:pPr>
            <w:r>
              <w:rPr/>
              <w:t>Тел.: +7 (3842) 64-33-08</w:t>
            </w:r>
          </w:p>
          <w:p>
            <w:pPr>
              <w:pStyle w:val="Normal"/>
              <w:jc w:val="both"/>
              <w:rPr/>
            </w:pPr>
            <w:r>
              <w:rPr/>
              <w:t>Банковские реквизиты:</w:t>
            </w:r>
          </w:p>
          <w:p>
            <w:pPr>
              <w:pStyle w:val="Normal"/>
              <w:jc w:val="both"/>
              <w:rPr/>
            </w:pPr>
            <w:r>
              <w:rPr/>
              <w:t>УФК по Новосибирской области (НИИ КПССЗ л/с 20396Х66880)</w:t>
            </w:r>
          </w:p>
          <w:p>
            <w:pPr>
              <w:pStyle w:val="Normal"/>
              <w:jc w:val="both"/>
              <w:rPr/>
            </w:pPr>
            <w:r>
              <w:rPr/>
              <w:t>УФК по Новосибирской области (НИИ КПССЗ л/с 21396Х66880)</w:t>
            </w:r>
          </w:p>
          <w:p>
            <w:pPr>
              <w:pStyle w:val="Normal"/>
              <w:jc w:val="both"/>
              <w:rPr/>
            </w:pPr>
            <w:r>
              <w:rPr/>
              <w:t>УФК по Новосибирской области (НИИ КПССЗ л/с 22396Х66880)</w:t>
            </w:r>
          </w:p>
          <w:p>
            <w:pPr>
              <w:pStyle w:val="Normal"/>
              <w:jc w:val="both"/>
              <w:rPr/>
            </w:pPr>
            <w:r>
              <w:rPr/>
              <w:t>ИНН 4205012290 КПП 420501001</w:t>
            </w:r>
          </w:p>
          <w:p>
            <w:pPr>
              <w:pStyle w:val="Normal"/>
              <w:jc w:val="both"/>
              <w:rPr/>
            </w:pPr>
            <w:r>
              <w:rPr/>
              <w:t>р/с 03214643000000015106</w:t>
            </w:r>
          </w:p>
          <w:p>
            <w:pPr>
              <w:pStyle w:val="Normal"/>
              <w:jc w:val="both"/>
              <w:rPr/>
            </w:pPr>
            <w:r>
              <w:rPr/>
              <w:t>ОКЦ № 1 СибГУ Банка России/УФК по Новосибирской области, г. Новосибирск</w:t>
            </w:r>
          </w:p>
          <w:p>
            <w:pPr>
              <w:pStyle w:val="Normal"/>
              <w:jc w:val="both"/>
              <w:rPr/>
            </w:pPr>
            <w:r>
              <w:rPr/>
              <w:t>БИК 015004950</w:t>
            </w:r>
          </w:p>
          <w:p>
            <w:pPr>
              <w:pStyle w:val="Normal"/>
              <w:jc w:val="both"/>
              <w:rPr/>
            </w:pPr>
            <w:r>
              <w:rPr/>
              <w:t>к/с 40102810445370000043</w:t>
            </w:r>
          </w:p>
          <w:p>
            <w:pPr>
              <w:pStyle w:val="Normal"/>
              <w:jc w:val="both"/>
              <w:rPr/>
            </w:pPr>
            <w:r>
              <w:rPr/>
              <w:t>КБК 00000000000000000130</w:t>
            </w:r>
          </w:p>
          <w:p>
            <w:pPr>
              <w:pStyle w:val="Normal"/>
              <w:jc w:val="both"/>
              <w:rPr/>
            </w:pPr>
            <w:r>
              <w:rPr/>
              <w:t>ОГРН 1034205024479</w:t>
            </w:r>
          </w:p>
          <w:p>
            <w:pPr>
              <w:pStyle w:val="Normal"/>
              <w:jc w:val="both"/>
              <w:rPr/>
            </w:pPr>
            <w:r>
              <w:rPr/>
              <w:t>ОКПО 55608705 ОКАТО 32401000000</w:t>
            </w:r>
          </w:p>
          <w:p>
            <w:pPr>
              <w:pStyle w:val="Normal"/>
              <w:jc w:val="both"/>
              <w:rPr/>
            </w:pPr>
            <w:r>
              <w:rPr/>
              <w:t>ОКТМО 32701000 ОКФС 12</w:t>
            </w:r>
          </w:p>
          <w:p>
            <w:pPr>
              <w:pStyle w:val="Normal"/>
              <w:jc w:val="both"/>
              <w:rPr/>
            </w:pPr>
            <w:r>
              <w:rPr/>
              <w:t>ОКОГУ 1330612 ОКОПФ 75103 ОКВЭД 72.19</w:t>
            </w:r>
          </w:p>
          <w:p>
            <w:pPr>
              <w:pStyle w:val="Normal"/>
              <w:jc w:val="both"/>
              <w:rPr/>
            </w:pPr>
            <w:r>
              <w:rPr/>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w:t>
            </w:r>
          </w:p>
          <w:p>
            <w:pPr>
              <w:pStyle w:val="11"/>
              <w:rPr>
                <w:rFonts w:ascii="Times New Roman" w:hAnsi="Times New Roman" w:cs="Times New Roman"/>
                <w:sz w:val="20"/>
                <w:szCs w:val="20"/>
              </w:rPr>
            </w:pPr>
            <w:r>
              <w:rPr>
                <w:rFonts w:cs="Times New Roman" w:ascii="Times New Roman" w:hAnsi="Times New Roman"/>
                <w:sz w:val="20"/>
                <w:szCs w:val="20"/>
              </w:rPr>
              <w:t>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11"/>
              <w:rPr>
                <w:rFonts w:ascii="Times New Roman" w:hAnsi="Times New Roman" w:cs="Times New Roman"/>
                <w:sz w:val="20"/>
                <w:szCs w:val="20"/>
              </w:rPr>
            </w:pPr>
            <w:r>
              <w:rPr>
                <w:rFonts w:cs="Times New Roman" w:ascii="Times New Roman" w:hAnsi="Times New Roman"/>
                <w:sz w:val="20"/>
                <w:szCs w:val="20"/>
              </w:rPr>
              <w:t>___________________ А.Е. Кузнецова</w:t>
            </w:r>
          </w:p>
          <w:p>
            <w:pPr>
              <w:pStyle w:val="11"/>
              <w:rPr>
                <w:rFonts w:ascii="Times New Roman" w:hAnsi="Times New Roman" w:cs="Times New Roman"/>
                <w:sz w:val="20"/>
                <w:szCs w:val="20"/>
              </w:rPr>
            </w:pPr>
            <w:r>
              <w:rPr>
                <w:rFonts w:cs="Times New Roman" w:ascii="Times New Roman" w:hAnsi="Times New Roman"/>
                <w:sz w:val="20"/>
                <w:szCs w:val="20"/>
              </w:rPr>
              <w:t xml:space="preserve">м.п. </w:t>
            </w:r>
          </w:p>
        </w:tc>
        <w:tc>
          <w:tcPr>
            <w:tcW w:w="4822" w:type="dxa"/>
            <w:tcBorders/>
          </w:tcPr>
          <w:p>
            <w:pPr>
              <w:pStyle w:val="Normal"/>
              <w:jc w:val="both"/>
              <w:rPr/>
            </w:pPr>
            <w:r>
              <w:rPr/>
            </w:r>
          </w:p>
          <w:p>
            <w:pPr>
              <w:pStyle w:val="Normal"/>
              <w:jc w:val="both"/>
              <w:rPr>
                <w:b/>
                <w:bCs/>
              </w:rPr>
            </w:pPr>
            <w:r>
              <w:rPr>
                <w:b/>
                <w:bCs/>
              </w:rPr>
              <w:t>Поставщик:</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 xml:space="preserve"> </w:t>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0"/>
        </w:sectPr>
      </w:pPr>
    </w:p>
    <w:p>
      <w:pPr>
        <w:pStyle w:val="Normal"/>
        <w:spacing w:before="0" w:after="60"/>
        <w:jc w:val="end"/>
        <w:rPr/>
      </w:pPr>
      <w:r>
        <w:rPr/>
        <w:t xml:space="preserve">Приложение №1 </w:t>
      </w:r>
    </w:p>
    <w:p>
      <w:pPr>
        <w:pStyle w:val="Normal"/>
        <w:spacing w:before="0" w:after="60"/>
        <w:jc w:val="end"/>
        <w:rPr/>
      </w:pPr>
      <w:r>
        <w:rPr/>
        <w:t xml:space="preserve">                                                                                                                         </w:t>
      </w:r>
      <w:bookmarkStart w:id="9" w:name="_Hlk180496427"/>
      <w:r>
        <w:rPr/>
        <w:t xml:space="preserve">к Контракту </w:t>
      </w:r>
      <w:r>
        <w:rPr>
          <w:b/>
          <w:bCs/>
        </w:rPr>
        <w:t>№ ___________</w:t>
      </w:r>
    </w:p>
    <w:p>
      <w:pPr>
        <w:pStyle w:val="Normal"/>
        <w:spacing w:before="0" w:after="60"/>
        <w:jc w:val="end"/>
        <w:rPr>
          <w:b/>
          <w:bCs/>
        </w:rPr>
      </w:pPr>
      <w:r>
        <w:rPr>
          <w:rFonts w:eastAsia="Calibri"/>
          <w:lang w:eastAsia="en-US"/>
        </w:rPr>
        <w:t>«____» октября 2026г.</w:t>
      </w:r>
    </w:p>
    <w:p>
      <w:pPr>
        <w:pStyle w:val="Normal"/>
        <w:spacing w:before="0" w:after="60"/>
        <w:jc w:val="end"/>
        <w:rPr>
          <w:b/>
          <w:bCs/>
        </w:rPr>
      </w:pPr>
      <w:r>
        <w:rPr>
          <w:b/>
          <w:bCs/>
        </w:rPr>
      </w:r>
    </w:p>
    <w:p>
      <w:pPr>
        <w:pStyle w:val="Normal"/>
        <w:spacing w:before="0" w:after="60"/>
        <w:jc w:val="center"/>
        <w:rPr>
          <w:b/>
          <w:bCs/>
        </w:rPr>
      </w:pPr>
      <w:r>
        <w:rPr>
          <w:rFonts w:eastAsia="Calibri"/>
          <w:b/>
          <w:bCs/>
          <w:lang w:eastAsia="en-US"/>
        </w:rPr>
        <w:t>Спецификация</w:t>
      </w:r>
    </w:p>
    <w:p>
      <w:pPr>
        <w:pStyle w:val="Normal"/>
        <w:spacing w:before="0" w:after="60"/>
        <w:jc w:val="center"/>
        <w:rPr>
          <w:b/>
          <w:bCs/>
        </w:rPr>
      </w:pPr>
      <w:r>
        <w:rPr>
          <w:rFonts w:eastAsia="Calibri"/>
          <w:b/>
          <w:bCs/>
          <w:lang w:eastAsia="en-US"/>
        </w:rPr>
      </w:r>
    </w:p>
    <w:tbl>
      <w:tblPr>
        <w:tblW w:w="15392" w:type="dxa"/>
        <w:jc w:val="start"/>
        <w:tblInd w:w="376" w:type="dxa"/>
        <w:tblLayout w:type="fixed"/>
        <w:tblCellMar>
          <w:top w:w="0" w:type="dxa"/>
          <w:start w:w="108" w:type="dxa"/>
          <w:bottom w:w="0" w:type="dxa"/>
          <w:end w:w="108" w:type="dxa"/>
        </w:tblCellMar>
        <w:tblLook w:val="01e0" w:noHBand="0" w:noVBand="0" w:firstColumn="1" w:lastRow="1" w:lastColumn="1" w:firstRow="1"/>
      </w:tblPr>
      <w:tblGrid>
        <w:gridCol w:w="507"/>
        <w:gridCol w:w="4870"/>
        <w:gridCol w:w="1015"/>
        <w:gridCol w:w="1131"/>
        <w:gridCol w:w="242"/>
        <w:gridCol w:w="150"/>
        <w:gridCol w:w="1477"/>
        <w:gridCol w:w="1258"/>
        <w:gridCol w:w="1812"/>
        <w:gridCol w:w="1188"/>
        <w:gridCol w:w="1742"/>
      </w:tblGrid>
      <w:tr>
        <w:trPr>
          <w:trHeight w:val="572" w:hRule="atLeast"/>
        </w:trPr>
        <w:tc>
          <w:tcPr>
            <w:tcW w:w="50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w:t>
            </w:r>
          </w:p>
          <w:p>
            <w:pPr>
              <w:pStyle w:val="Normal"/>
              <w:widowControl w:val="false"/>
              <w:jc w:val="center"/>
              <w:rPr>
                <w:sz w:val="16"/>
                <w:szCs w:val="16"/>
              </w:rPr>
            </w:pPr>
            <w:r>
              <w:rPr>
                <w:sz w:val="16"/>
                <w:szCs w:val="16"/>
              </w:rPr>
              <w:t>п/п</w:t>
            </w:r>
          </w:p>
        </w:tc>
        <w:tc>
          <w:tcPr>
            <w:tcW w:w="487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Наименование, минимальные технические (качественные) характеристики  товара</w:t>
            </w:r>
          </w:p>
        </w:tc>
        <w:tc>
          <w:tcPr>
            <w:tcW w:w="2538" w:type="dxa"/>
            <w:gridSpan w:val="4"/>
            <w:tcBorders>
              <w:top w:val="single" w:sz="4" w:space="0" w:color="000000"/>
              <w:start w:val="single" w:sz="4" w:space="0" w:color="000000"/>
              <w:bottom w:val="single" w:sz="4" w:space="0" w:color="000000"/>
              <w:end w:val="single" w:sz="4" w:space="0" w:color="000000"/>
            </w:tcBorders>
          </w:tcPr>
          <w:p>
            <w:pPr>
              <w:pStyle w:val="Normal"/>
              <w:widowControl w:val="false"/>
              <w:jc w:val="center"/>
              <w:rPr>
                <w:sz w:val="16"/>
                <w:szCs w:val="16"/>
              </w:rPr>
            </w:pPr>
            <w:r>
              <w:rPr>
                <w:sz w:val="16"/>
                <w:szCs w:val="16"/>
              </w:rPr>
              <w:t>Страна происхождения товара</w:t>
            </w:r>
          </w:p>
        </w:tc>
        <w:tc>
          <w:tcPr>
            <w:tcW w:w="147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Кол</w:t>
            </w:r>
            <w:r>
              <w:rPr>
                <w:sz w:val="16"/>
                <w:szCs w:val="16"/>
              </w:rPr>
              <w:t>ичест</w:t>
            </w:r>
            <w:r>
              <w:rPr>
                <w:sz w:val="16"/>
                <w:szCs w:val="16"/>
              </w:rPr>
              <w:t>во</w:t>
            </w:r>
          </w:p>
        </w:tc>
        <w:tc>
          <w:tcPr>
            <w:tcW w:w="125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sz w:val="16"/>
                <w:szCs w:val="16"/>
              </w:rPr>
            </w:pPr>
            <w:r>
              <w:rPr>
                <w:sz w:val="16"/>
                <w:szCs w:val="16"/>
              </w:rPr>
              <w:t>Ед. изм.</w:t>
            </w:r>
          </w:p>
        </w:tc>
        <w:tc>
          <w:tcPr>
            <w:tcW w:w="18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 xml:space="preserve">Стоимость единицы без НДС, рублей </w:t>
            </w:r>
          </w:p>
        </w:tc>
        <w:tc>
          <w:tcPr>
            <w:tcW w:w="118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jc w:val="center"/>
              <w:rPr>
                <w:sz w:val="16"/>
                <w:szCs w:val="16"/>
              </w:rPr>
            </w:pPr>
            <w:r>
              <w:rPr>
                <w:color w:val="000000"/>
                <w:spacing w:val="-11"/>
                <w:sz w:val="16"/>
                <w:szCs w:val="16"/>
              </w:rPr>
              <w:t>НДС, рублей</w:t>
            </w:r>
          </w:p>
        </w:tc>
        <w:tc>
          <w:tcPr>
            <w:tcW w:w="174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hd w:val="clear" w:color="auto" w:fill="FFFFFF"/>
              <w:suppressAutoHyphens w:val="true"/>
              <w:bidi w:val="0"/>
              <w:spacing w:before="0" w:after="0"/>
              <w:ind w:hanging="0" w:start="113" w:end="0"/>
              <w:jc w:val="center"/>
              <w:rPr>
                <w:sz w:val="16"/>
                <w:szCs w:val="16"/>
              </w:rPr>
            </w:pPr>
            <w:r>
              <w:rPr>
                <w:color w:val="000000"/>
                <w:spacing w:val="-11"/>
                <w:sz w:val="16"/>
                <w:szCs w:val="16"/>
              </w:rPr>
              <w:t>Общая стоимость с НДС, рублей</w:t>
            </w:r>
          </w:p>
        </w:tc>
      </w:tr>
      <w:tr>
        <w:trPr>
          <w:trHeight w:val="405" w:hRule="atLeast"/>
        </w:trPr>
        <w:tc>
          <w:tcPr>
            <w:tcW w:w="507" w:type="dxa"/>
            <w:tcBorders>
              <w:top w:val="single" w:sz="4" w:space="0" w:color="000000"/>
              <w:start w:val="single" w:sz="10"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t>1</w:t>
            </w:r>
          </w:p>
        </w:tc>
        <w:tc>
          <w:tcPr>
            <w:tcW w:w="4870" w:type="dxa"/>
            <w:tcBorders>
              <w:top w:val="single" w:sz="4" w:space="0" w:color="000001"/>
              <w:start w:val="single" w:sz="4" w:space="0" w:color="000001"/>
              <w:bottom w:val="single" w:sz="4" w:space="0" w:color="000000"/>
              <w:end w:val="single" w:sz="4" w:space="0" w:color="000000"/>
            </w:tcBorders>
          </w:tcPr>
          <w:p>
            <w:pPr>
              <w:pStyle w:val="Normal"/>
              <w:rPr>
                <w:b/>
                <w:bCs/>
                <w:sz w:val="16"/>
                <w:szCs w:val="16"/>
              </w:rPr>
            </w:pPr>
            <w:r>
              <w:rPr>
                <w:b/>
                <w:bCs/>
                <w:sz w:val="16"/>
                <w:szCs w:val="16"/>
              </w:rPr>
              <w:t>Набор первой медицинской помощи, не содержащий лекарственные средства, одноразового использования</w:t>
            </w:r>
          </w:p>
          <w:p>
            <w:pPr>
              <w:pStyle w:val="Normal"/>
              <w:rPr>
                <w:sz w:val="16"/>
                <w:szCs w:val="16"/>
              </w:rPr>
            </w:pPr>
            <w:r>
              <w:rPr>
                <w:sz w:val="16"/>
                <w:szCs w:val="16"/>
              </w:rPr>
            </w:r>
          </w:p>
          <w:p>
            <w:pPr>
              <w:pStyle w:val="Normal"/>
              <w:rPr>
                <w:sz w:val="16"/>
                <w:szCs w:val="16"/>
              </w:rPr>
            </w:pPr>
            <w:r>
              <w:rPr>
                <w:sz w:val="16"/>
                <w:szCs w:val="16"/>
              </w:rPr>
              <w:t>Комплект</w:t>
              <w:tab/>
              <w:t xml:space="preserve">Маркер перманентный; </w:t>
            </w:r>
          </w:p>
          <w:p>
            <w:pPr>
              <w:pStyle w:val="Normal"/>
              <w:rPr>
                <w:sz w:val="16"/>
                <w:szCs w:val="16"/>
              </w:rPr>
            </w:pPr>
            <w:r>
              <w:rPr>
                <w:sz w:val="16"/>
                <w:szCs w:val="16"/>
              </w:rPr>
              <w:t xml:space="preserve">Блок бланков бумажных; </w:t>
            </w:r>
          </w:p>
          <w:p>
            <w:pPr>
              <w:pStyle w:val="Normal"/>
              <w:rPr>
                <w:sz w:val="16"/>
                <w:szCs w:val="16"/>
              </w:rPr>
            </w:pPr>
            <w:r>
              <w:rPr>
                <w:sz w:val="16"/>
                <w:szCs w:val="16"/>
              </w:rPr>
              <w:t xml:space="preserve">Жгут кровоостанавливающий;  Лейкопластырь бактерицидный; Лейкопластырь рулонный; </w:t>
            </w:r>
          </w:p>
          <w:p>
            <w:pPr>
              <w:pStyle w:val="Normal"/>
              <w:rPr>
                <w:sz w:val="16"/>
                <w:szCs w:val="16"/>
              </w:rPr>
            </w:pPr>
            <w:r>
              <w:rPr>
                <w:sz w:val="16"/>
                <w:szCs w:val="16"/>
              </w:rPr>
              <w:t xml:space="preserve">Бинт марлевый;  </w:t>
            </w:r>
          </w:p>
          <w:p>
            <w:pPr>
              <w:pStyle w:val="Normal"/>
              <w:rPr>
                <w:sz w:val="16"/>
                <w:szCs w:val="16"/>
              </w:rPr>
            </w:pPr>
            <w:r>
              <w:rPr>
                <w:sz w:val="16"/>
                <w:szCs w:val="16"/>
              </w:rPr>
              <w:t xml:space="preserve">Перчатки медицинские; </w:t>
            </w:r>
          </w:p>
          <w:p>
            <w:pPr>
              <w:pStyle w:val="Normal"/>
              <w:rPr>
                <w:sz w:val="16"/>
                <w:szCs w:val="16"/>
              </w:rPr>
            </w:pPr>
            <w:r>
              <w:rPr>
                <w:sz w:val="16"/>
                <w:szCs w:val="16"/>
              </w:rPr>
              <w:t xml:space="preserve">Маска медицинская; </w:t>
            </w:r>
          </w:p>
          <w:p>
            <w:pPr>
              <w:pStyle w:val="Normal"/>
              <w:rPr>
                <w:sz w:val="16"/>
                <w:szCs w:val="16"/>
              </w:rPr>
            </w:pPr>
            <w:r>
              <w:rPr>
                <w:sz w:val="16"/>
                <w:szCs w:val="16"/>
              </w:rPr>
              <w:t xml:space="preserve">Салфетка антисептическая; Устройство для проведения искусственного дыхания рот-устройство-рот; </w:t>
            </w:r>
          </w:p>
          <w:p>
            <w:pPr>
              <w:pStyle w:val="Normal"/>
              <w:rPr>
                <w:sz w:val="16"/>
                <w:szCs w:val="16"/>
              </w:rPr>
            </w:pPr>
            <w:r>
              <w:rPr>
                <w:sz w:val="16"/>
                <w:szCs w:val="16"/>
              </w:rPr>
              <w:t xml:space="preserve">Покрывало спасательное изотермическое; </w:t>
            </w:r>
          </w:p>
          <w:p>
            <w:pPr>
              <w:pStyle w:val="Normal"/>
              <w:rPr>
                <w:sz w:val="16"/>
                <w:szCs w:val="16"/>
              </w:rPr>
            </w:pPr>
            <w:r>
              <w:rPr>
                <w:sz w:val="16"/>
                <w:szCs w:val="16"/>
              </w:rPr>
              <w:t>Ножницы общего назначения</w:t>
              <w:tab/>
            </w:r>
          </w:p>
          <w:p>
            <w:pPr>
              <w:pStyle w:val="Normal"/>
              <w:rPr>
                <w:sz w:val="16"/>
                <w:szCs w:val="16"/>
              </w:rPr>
            </w:pPr>
            <w:r>
              <w:rPr>
                <w:sz w:val="16"/>
                <w:szCs w:val="16"/>
              </w:rPr>
              <w:t>Маска медицинская нестерильная одноразовая</w:t>
              <w:tab/>
              <w:t>Не менее 2 штука</w:t>
            </w:r>
          </w:p>
          <w:p>
            <w:pPr>
              <w:pStyle w:val="Normal"/>
              <w:rPr>
                <w:sz w:val="16"/>
                <w:szCs w:val="16"/>
              </w:rPr>
            </w:pPr>
            <w:r>
              <w:rPr>
                <w:sz w:val="16"/>
                <w:szCs w:val="16"/>
              </w:rPr>
              <w:t>Перчатки медицинские нестерильные (размер не менее М) Не менее 2 пара</w:t>
            </w:r>
          </w:p>
          <w:p>
            <w:pPr>
              <w:pStyle w:val="Normal"/>
              <w:rPr>
                <w:sz w:val="16"/>
                <w:szCs w:val="16"/>
              </w:rPr>
            </w:pPr>
            <w:r>
              <w:rPr>
                <w:sz w:val="16"/>
                <w:szCs w:val="16"/>
              </w:rPr>
              <w:t>Устройство для проведения искусственного дыхания «Рот-Устройство-Рот» Не менее 2 штука</w:t>
            </w:r>
          </w:p>
          <w:p>
            <w:pPr>
              <w:pStyle w:val="Normal"/>
              <w:rPr>
                <w:sz w:val="16"/>
                <w:szCs w:val="16"/>
              </w:rPr>
            </w:pPr>
            <w:r>
              <w:rPr>
                <w:sz w:val="16"/>
                <w:szCs w:val="16"/>
              </w:rPr>
              <w:t>Жгут кровоостанавливающий для остановки артериального кровотечения Не менее 1 штука</w:t>
            </w:r>
          </w:p>
          <w:p>
            <w:pPr>
              <w:pStyle w:val="Normal"/>
              <w:rPr>
                <w:sz w:val="16"/>
                <w:szCs w:val="16"/>
              </w:rPr>
            </w:pPr>
            <w:r>
              <w:rPr>
                <w:sz w:val="16"/>
                <w:szCs w:val="16"/>
              </w:rPr>
              <w:t>Бинт марлевый медицинский (размер не менее 5 мx10 см) или бинт фиксирующий эластичный нестерильный (размер не менее 2 мx10 см) Не менее 4 штука</w:t>
            </w:r>
          </w:p>
          <w:p>
            <w:pPr>
              <w:pStyle w:val="Normal"/>
              <w:rPr>
                <w:sz w:val="16"/>
                <w:szCs w:val="16"/>
              </w:rPr>
            </w:pPr>
            <w:r>
              <w:rPr>
                <w:sz w:val="16"/>
                <w:szCs w:val="16"/>
              </w:rPr>
              <w:t>Бинт марлевый медицинский (размер не менее 7мx14 см) или бинт фиксирующий эластичный нестерильный (размер не менее 2мx14 см) Не менее 4 штука</w:t>
            </w:r>
          </w:p>
          <w:p>
            <w:pPr>
              <w:pStyle w:val="Normal"/>
              <w:rPr>
                <w:sz w:val="16"/>
                <w:szCs w:val="16"/>
              </w:rPr>
            </w:pPr>
            <w:r>
              <w:rPr>
                <w:sz w:val="16"/>
                <w:szCs w:val="16"/>
              </w:rPr>
              <w:t>Салфетки медицинские стерильные №10 (размер не менее 16x13 см) Не менее 2 упаковка</w:t>
            </w:r>
          </w:p>
          <w:p>
            <w:pPr>
              <w:pStyle w:val="Normal"/>
              <w:rPr>
                <w:sz w:val="16"/>
                <w:szCs w:val="16"/>
              </w:rPr>
            </w:pPr>
            <w:r>
              <w:rPr>
                <w:sz w:val="16"/>
                <w:szCs w:val="16"/>
              </w:rPr>
              <w:t>Лейкопластырь фиксирующий рулонный (размер не менее 2x500 см) Не менее 1 штука</w:t>
            </w:r>
          </w:p>
          <w:p>
            <w:pPr>
              <w:pStyle w:val="Normal"/>
              <w:rPr>
                <w:sz w:val="16"/>
                <w:szCs w:val="16"/>
              </w:rPr>
            </w:pPr>
            <w:r>
              <w:rPr>
                <w:sz w:val="16"/>
                <w:szCs w:val="16"/>
              </w:rPr>
              <w:t>Лейкопластырь бактерицидный (размер не менее 1,9x7,2 см) Не менее 10 штука</w:t>
            </w:r>
          </w:p>
          <w:p>
            <w:pPr>
              <w:pStyle w:val="Normal"/>
              <w:rPr>
                <w:sz w:val="16"/>
                <w:szCs w:val="16"/>
              </w:rPr>
            </w:pPr>
            <w:r>
              <w:rPr>
                <w:sz w:val="16"/>
                <w:szCs w:val="16"/>
              </w:rPr>
              <w:t>Лейкопластырь бактерицидный (размер не менее 4x10 см) Не менее 2 штука</w:t>
            </w:r>
          </w:p>
          <w:p>
            <w:pPr>
              <w:pStyle w:val="Normal"/>
              <w:rPr>
                <w:sz w:val="16"/>
                <w:szCs w:val="16"/>
              </w:rPr>
            </w:pPr>
            <w:r>
              <w:rPr>
                <w:sz w:val="16"/>
                <w:szCs w:val="16"/>
              </w:rPr>
              <w:t>Покрывало спасательное изотермическое (размер не менее 160x210 см) Не менее 2 штука</w:t>
            </w:r>
          </w:p>
          <w:p>
            <w:pPr>
              <w:pStyle w:val="Normal"/>
              <w:rPr>
                <w:sz w:val="16"/>
                <w:szCs w:val="16"/>
              </w:rPr>
            </w:pPr>
            <w:r>
              <w:rPr>
                <w:sz w:val="16"/>
                <w:szCs w:val="16"/>
              </w:rPr>
              <w:t>Ножницы для разрезания перевязочного материала и ткани Не менее 1 штука</w:t>
            </w:r>
          </w:p>
          <w:p>
            <w:pPr>
              <w:pStyle w:val="Normal"/>
              <w:rPr>
                <w:sz w:val="16"/>
                <w:szCs w:val="16"/>
              </w:rPr>
            </w:pPr>
            <w:r>
              <w:rPr>
                <w:sz w:val="16"/>
                <w:szCs w:val="16"/>
              </w:rPr>
              <w:t>Инструкция по оказанию первой помощи с использованием аптечки для оказания работниками первой помощи пострадавшим с применением медицинских изделий Наличие</w:t>
              <w:tab/>
            </w:r>
          </w:p>
          <w:p>
            <w:pPr>
              <w:pStyle w:val="Normal"/>
              <w:rPr>
                <w:sz w:val="16"/>
                <w:szCs w:val="16"/>
              </w:rPr>
            </w:pPr>
            <w:r>
              <w:rPr>
                <w:sz w:val="16"/>
                <w:szCs w:val="16"/>
              </w:rPr>
              <w:t>Блокнот (формат не менее A7)</w:t>
              <w:tab/>
              <w:t>Не менее 1 штука</w:t>
            </w:r>
          </w:p>
          <w:p>
            <w:pPr>
              <w:pStyle w:val="Normal"/>
              <w:rPr>
                <w:sz w:val="16"/>
                <w:szCs w:val="16"/>
              </w:rPr>
            </w:pPr>
            <w:r>
              <w:rPr>
                <w:sz w:val="16"/>
                <w:szCs w:val="16"/>
              </w:rPr>
              <w:t>Маркер цвет черный (синий) или карандаш Не менее 1 штука</w:t>
            </w:r>
          </w:p>
          <w:p>
            <w:pPr>
              <w:pStyle w:val="Normal"/>
              <w:rPr>
                <w:sz w:val="16"/>
                <w:szCs w:val="16"/>
              </w:rPr>
            </w:pPr>
            <w:r>
              <w:rPr>
                <w:sz w:val="16"/>
                <w:szCs w:val="16"/>
              </w:rPr>
              <w:t>Форма выпуска Футляр или сумка</w:t>
              <w:tab/>
            </w:r>
          </w:p>
          <w:p>
            <w:pPr>
              <w:pStyle w:val="Normal"/>
              <w:rPr>
                <w:sz w:val="16"/>
                <w:szCs w:val="16"/>
              </w:rPr>
            </w:pPr>
            <w:r>
              <w:rPr>
                <w:sz w:val="16"/>
                <w:szCs w:val="16"/>
              </w:rPr>
            </w:r>
          </w:p>
          <w:p>
            <w:pPr>
              <w:pStyle w:val="Normal"/>
              <w:rPr>
                <w:sz w:val="16"/>
                <w:szCs w:val="16"/>
              </w:rPr>
            </w:pPr>
            <w:r>
              <w:rPr>
                <w:sz w:val="16"/>
                <w:szCs w:val="16"/>
              </w:rPr>
              <w:t>ОКПД2 21.20.24.170</w:t>
            </w:r>
          </w:p>
        </w:tc>
        <w:tc>
          <w:tcPr>
            <w:tcW w:w="2538" w:type="dxa"/>
            <w:gridSpan w:val="4"/>
            <w:tcBorders>
              <w:top w:val="single" w:sz="4" w:space="0" w:color="000000"/>
              <w:start w:val="single" w:sz="4" w:space="0" w:color="000000"/>
              <w:bottom w:val="single" w:sz="4" w:space="0" w:color="000000"/>
              <w:end w:val="single" w:sz="4" w:space="0" w:color="000000"/>
            </w:tcBorders>
            <w:shd w:color="FFFFFF" w:fill="auto" w:val="clear"/>
          </w:tcPr>
          <w:p>
            <w:pPr>
              <w:pStyle w:val="Normal"/>
              <w:jc w:val="center"/>
              <w:rPr>
                <w:sz w:val="16"/>
                <w:szCs w:val="16"/>
                <w:lang w:val="en-US"/>
              </w:rPr>
            </w:pPr>
            <w:r>
              <w:rPr>
                <w:sz w:val="16"/>
                <w:szCs w:val="16"/>
                <w:lang w:val="en-US"/>
              </w:rPr>
            </w:r>
          </w:p>
        </w:tc>
        <w:tc>
          <w:tcPr>
            <w:tcW w:w="1477" w:type="dxa"/>
            <w:tcBorders>
              <w:top w:val="single" w:sz="4" w:space="0" w:color="000001"/>
              <w:start w:val="single" w:sz="4" w:space="0" w:color="000001"/>
              <w:bottom w:val="single" w:sz="4" w:space="0" w:color="000000"/>
            </w:tcBorders>
          </w:tcPr>
          <w:p>
            <w:pPr>
              <w:pStyle w:val="Normal"/>
              <w:jc w:val="center"/>
              <w:rPr>
                <w:sz w:val="16"/>
                <w:szCs w:val="16"/>
                <w:lang w:val="en-US"/>
              </w:rPr>
            </w:pPr>
            <w:r>
              <w:rPr>
                <w:sz w:val="16"/>
                <w:szCs w:val="16"/>
                <w:lang w:val="en-US"/>
              </w:rPr>
              <w:t>15</w:t>
            </w:r>
          </w:p>
        </w:tc>
        <w:tc>
          <w:tcPr>
            <w:tcW w:w="1258" w:type="dxa"/>
            <w:tcBorders>
              <w:top w:val="single" w:sz="4" w:space="0" w:color="000001"/>
              <w:start w:val="single" w:sz="4" w:space="0" w:color="000001"/>
              <w:bottom w:val="single" w:sz="4" w:space="0" w:color="000000"/>
            </w:tcBorders>
          </w:tcPr>
          <w:p>
            <w:pPr>
              <w:pStyle w:val="Normal"/>
              <w:jc w:val="center"/>
              <w:rPr>
                <w:sz w:val="16"/>
                <w:szCs w:val="16"/>
              </w:rPr>
            </w:pPr>
            <w:r>
              <w:rPr>
                <w:sz w:val="16"/>
                <w:szCs w:val="16"/>
              </w:rPr>
              <w:t>штука</w:t>
            </w:r>
          </w:p>
        </w:tc>
        <w:tc>
          <w:tcPr>
            <w:tcW w:w="1812"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jc w:val="center"/>
              <w:rPr>
                <w:sz w:val="16"/>
                <w:szCs w:val="16"/>
              </w:rPr>
            </w:pPr>
            <w:r>
              <w:rPr>
                <w:sz w:val="16"/>
                <w:szCs w:val="16"/>
              </w:rPr>
            </w:r>
          </w:p>
        </w:tc>
        <w:tc>
          <w:tcPr>
            <w:tcW w:w="1188" w:type="dxa"/>
            <w:tcBorders>
              <w:top w:val="single" w:sz="4" w:space="0" w:color="000000"/>
              <w:start w:val="single" w:sz="4" w:space="0" w:color="000000"/>
              <w:bottom w:val="single" w:sz="4" w:space="0" w:color="000000"/>
              <w:end w:val="single" w:sz="4" w:space="0" w:color="000000"/>
            </w:tcBorders>
            <w:shd w:color="FFFFFF" w:fill="auto" w:val="clear"/>
            <w:vAlign w:val="center"/>
          </w:tcPr>
          <w:p>
            <w:pPr>
              <w:pStyle w:val="Normal"/>
              <w:spacing w:lineRule="atLeast" w:line="57"/>
              <w:jc w:val="center"/>
              <w:rPr>
                <w:sz w:val="16"/>
                <w:szCs w:val="16"/>
                <w:highlight w:val="yellow"/>
              </w:rPr>
            </w:pPr>
            <w:r>
              <w:rPr>
                <w:sz w:val="16"/>
                <w:szCs w:val="16"/>
                <w:highlight w:val="yellow"/>
              </w:rPr>
            </w:r>
          </w:p>
        </w:tc>
        <w:tc>
          <w:tcPr>
            <w:tcW w:w="1742" w:type="dxa"/>
            <w:tcBorders>
              <w:top w:val="single" w:sz="4" w:space="0" w:color="000000"/>
              <w:start w:val="single" w:sz="4" w:space="0" w:color="000000"/>
              <w:bottom w:val="single" w:sz="4" w:space="0" w:color="000000"/>
              <w:end w:val="single" w:sz="10" w:space="0" w:color="000000"/>
            </w:tcBorders>
            <w:shd w:color="FFFFFF" w:fill="auto" w:val="clear"/>
            <w:vAlign w:val="center"/>
          </w:tcPr>
          <w:p>
            <w:pPr>
              <w:pStyle w:val="Normal"/>
              <w:widowControl/>
              <w:suppressAutoHyphens w:val="true"/>
              <w:bidi w:val="0"/>
              <w:spacing w:lineRule="atLeast" w:line="57" w:before="0" w:after="0"/>
              <w:ind w:hanging="0" w:start="0" w:end="227"/>
              <w:jc w:val="center"/>
              <w:rPr>
                <w:b/>
                <w:bCs/>
                <w:sz w:val="16"/>
                <w:szCs w:val="16"/>
                <w:highlight w:val="yellow"/>
              </w:rPr>
            </w:pPr>
            <w:r>
              <w:rPr>
                <w:b/>
                <w:bCs/>
                <w:sz w:val="16"/>
                <w:szCs w:val="16"/>
                <w:highlight w:val="yellow"/>
              </w:rPr>
            </w:r>
          </w:p>
        </w:tc>
      </w:tr>
      <w:tr>
        <w:trPr>
          <w:trHeight w:val="243" w:hRule="atLeast"/>
        </w:trPr>
        <w:tc>
          <w:tcPr>
            <w:tcW w:w="13650" w:type="dxa"/>
            <w:gridSpan w:val="10"/>
            <w:tcBorders>
              <w:top w:val="single" w:sz="4" w:space="0" w:color="000000"/>
              <w:start w:val="single" w:sz="4" w:space="0" w:color="000000"/>
              <w:bottom w:val="single" w:sz="4" w:space="0" w:color="000000"/>
              <w:end w:val="single" w:sz="4" w:space="0" w:color="000000"/>
            </w:tcBorders>
          </w:tcPr>
          <w:p>
            <w:pPr>
              <w:pStyle w:val="Normal"/>
              <w:jc w:val="end"/>
              <w:rPr>
                <w:b/>
                <w:bCs/>
                <w:highlight w:val="yellow"/>
              </w:rPr>
            </w:pPr>
            <w:r>
              <w:rPr>
                <w:b/>
                <w:bCs/>
                <w:highlight w:val="yellow"/>
              </w:rPr>
              <w:t>ИТОГО:</w:t>
            </w:r>
          </w:p>
        </w:tc>
        <w:tc>
          <w:tcPr>
            <w:tcW w:w="1742" w:type="dxa"/>
            <w:tcBorders>
              <w:top w:val="single" w:sz="4" w:space="0" w:color="000000"/>
              <w:start w:val="single" w:sz="4" w:space="0" w:color="000000"/>
              <w:bottom w:val="single" w:sz="4" w:space="0" w:color="000000"/>
              <w:end w:val="single" w:sz="4" w:space="0" w:color="000000"/>
            </w:tcBorders>
          </w:tcPr>
          <w:p>
            <w:pPr>
              <w:pStyle w:val="Normal"/>
              <w:jc w:val="center"/>
              <w:rPr>
                <w:b/>
                <w:bCs/>
                <w:highlight w:val="yellow"/>
              </w:rPr>
            </w:pPr>
            <w:r>
              <w:rPr>
                <w:b/>
                <w:bCs/>
                <w:highlight w:val="yellow"/>
              </w:rPr>
            </w:r>
          </w:p>
        </w:tc>
      </w:tr>
      <w:tr>
        <w:trPr>
          <w:trHeight w:val="1877" w:hRule="atLeast"/>
        </w:trPr>
        <w:tc>
          <w:tcPr>
            <w:tcW w:w="6392" w:type="dxa"/>
            <w:gridSpan w:val="3"/>
            <w:tcBorders/>
            <w:shd w:color="auto" w:fill="auto" w:val="clear"/>
          </w:tcPr>
          <w:p>
            <w:pPr>
              <w:pStyle w:val="Normal"/>
              <w:tabs>
                <w:tab w:val="clear" w:pos="708"/>
                <w:tab w:val="left" w:pos="7680" w:leader="none"/>
              </w:tabs>
              <w:rPr>
                <w:b/>
                <w:color w:val="000000"/>
              </w:rPr>
            </w:pPr>
            <w:r>
              <w:rPr>
                <w:b/>
                <w:color w:val="000000"/>
              </w:rPr>
            </w:r>
          </w:p>
          <w:p>
            <w:pPr>
              <w:pStyle w:val="Normal"/>
              <w:tabs>
                <w:tab w:val="clear" w:pos="708"/>
                <w:tab w:val="left" w:pos="7680" w:leader="none"/>
              </w:tabs>
              <w:rPr>
                <w:b/>
                <w:color w:val="000000"/>
              </w:rPr>
            </w:pPr>
            <w:r>
              <w:rPr>
                <w:b/>
                <w:color w:val="000000"/>
              </w:rPr>
              <w:t>Заказчик:</w:t>
            </w:r>
          </w:p>
          <w:p>
            <w:pPr>
              <w:pStyle w:val="Normal"/>
              <w:tabs>
                <w:tab w:val="clear" w:pos="708"/>
                <w:tab w:val="left" w:pos="7680" w:leader="none"/>
              </w:tabs>
              <w:rPr>
                <w:b/>
                <w:color w:val="000000"/>
              </w:rPr>
            </w:pPr>
            <w:r>
              <w:rPr>
                <w:b/>
                <w:color w:val="000000"/>
              </w:rPr>
            </w:r>
          </w:p>
          <w:p>
            <w:pPr>
              <w:pStyle w:val="11"/>
              <w:rPr>
                <w:rFonts w:ascii="Times New Roman" w:hAnsi="Times New Roman" w:cs="Times New Roman"/>
                <w:sz w:val="20"/>
                <w:szCs w:val="20"/>
              </w:rPr>
            </w:pPr>
            <w:r>
              <w:rPr>
                <w:rFonts w:cs="Times New Roman" w:ascii="Times New Roman" w:hAnsi="Times New Roman"/>
                <w:sz w:val="20"/>
                <w:szCs w:val="20"/>
              </w:rPr>
              <w:t>Начальник отдела материально-</w:t>
            </w:r>
          </w:p>
          <w:p>
            <w:pPr>
              <w:pStyle w:val="11"/>
              <w:rPr>
                <w:rFonts w:ascii="Times New Roman" w:hAnsi="Times New Roman" w:cs="Times New Roman"/>
                <w:sz w:val="20"/>
                <w:szCs w:val="20"/>
              </w:rPr>
            </w:pPr>
            <w:r>
              <w:rPr>
                <w:rFonts w:cs="Times New Roman" w:ascii="Times New Roman" w:hAnsi="Times New Roman"/>
                <w:sz w:val="20"/>
                <w:szCs w:val="20"/>
              </w:rPr>
              <w:t>технического снабжения</w:t>
            </w:r>
          </w:p>
          <w:p>
            <w:pPr>
              <w:pStyle w:val="11"/>
              <w:rPr>
                <w:rFonts w:ascii="Times New Roman" w:hAnsi="Times New Roman" w:cs="Times New Roman"/>
                <w:sz w:val="20"/>
                <w:szCs w:val="20"/>
              </w:rPr>
            </w:pPr>
            <w:r>
              <w:rPr>
                <w:rFonts w:cs="Times New Roman" w:ascii="Times New Roman" w:hAnsi="Times New Roman"/>
                <w:sz w:val="20"/>
                <w:szCs w:val="20"/>
              </w:rPr>
            </w:r>
          </w:p>
          <w:p>
            <w:pPr>
              <w:pStyle w:val="11"/>
              <w:rPr>
                <w:rFonts w:ascii="Times New Roman" w:hAnsi="Times New Roman" w:cs="Times New Roman"/>
                <w:sz w:val="20"/>
                <w:szCs w:val="20"/>
              </w:rPr>
            </w:pPr>
            <w:r>
              <w:rPr>
                <w:rFonts w:cs="Times New Roman" w:ascii="Times New Roman" w:hAnsi="Times New Roman"/>
                <w:sz w:val="20"/>
                <w:szCs w:val="20"/>
              </w:rPr>
              <w:t>___________________ А.Е. Кузнецова</w:t>
            </w:r>
          </w:p>
          <w:p>
            <w:pPr>
              <w:pStyle w:val="11"/>
              <w:rPr>
                <w:rFonts w:ascii="Times New Roman" w:hAnsi="Times New Roman" w:cs="Times New Roman"/>
                <w:sz w:val="20"/>
                <w:szCs w:val="20"/>
              </w:rPr>
            </w:pPr>
            <w:r>
              <w:rPr>
                <w:rFonts w:cs="Times New Roman" w:ascii="Times New Roman" w:hAnsi="Times New Roman"/>
                <w:sz w:val="20"/>
                <w:szCs w:val="20"/>
              </w:rPr>
              <w:t xml:space="preserve">м.п. </w:t>
            </w:r>
          </w:p>
        </w:tc>
        <w:tc>
          <w:tcPr>
            <w:tcW w:w="1131" w:type="dxa"/>
            <w:tcBorders/>
          </w:tcPr>
          <w:p>
            <w:pPr>
              <w:pStyle w:val="Normal"/>
              <w:tabs>
                <w:tab w:val="clear" w:pos="708"/>
                <w:tab w:val="left" w:pos="7680" w:leader="none"/>
              </w:tabs>
              <w:rPr>
                <w:b/>
                <w:color w:val="000000"/>
              </w:rPr>
            </w:pPr>
            <w:r>
              <w:rPr>
                <w:b/>
                <w:color w:val="000000"/>
              </w:rPr>
            </w:r>
          </w:p>
        </w:tc>
        <w:tc>
          <w:tcPr>
            <w:tcW w:w="242" w:type="dxa"/>
            <w:tcBorders/>
          </w:tcPr>
          <w:p>
            <w:pPr>
              <w:pStyle w:val="Normal"/>
              <w:tabs>
                <w:tab w:val="clear" w:pos="708"/>
                <w:tab w:val="left" w:pos="7680" w:leader="none"/>
              </w:tabs>
              <w:rPr>
                <w:b/>
                <w:color w:val="000000"/>
              </w:rPr>
            </w:pPr>
            <w:r>
              <w:rPr>
                <w:b/>
                <w:color w:val="000000"/>
              </w:rPr>
            </w:r>
          </w:p>
        </w:tc>
        <w:tc>
          <w:tcPr>
            <w:tcW w:w="2885" w:type="dxa"/>
            <w:gridSpan w:val="3"/>
            <w:tcBorders/>
          </w:tcPr>
          <w:p>
            <w:pPr>
              <w:pStyle w:val="Normal"/>
              <w:tabs>
                <w:tab w:val="clear" w:pos="708"/>
                <w:tab w:val="left" w:pos="7680" w:leader="none"/>
              </w:tabs>
              <w:rPr>
                <w:b/>
                <w:color w:val="000000"/>
              </w:rPr>
            </w:pPr>
            <w:r>
              <w:rPr>
                <w:b/>
                <w:color w:val="000000"/>
              </w:rPr>
            </w:r>
          </w:p>
        </w:tc>
        <w:tc>
          <w:tcPr>
            <w:tcW w:w="4742" w:type="dxa"/>
            <w:gridSpan w:val="3"/>
            <w:tcBorders/>
            <w:shd w:color="auto" w:fill="auto" w:val="clear"/>
          </w:tcPr>
          <w:p>
            <w:pPr>
              <w:pStyle w:val="Normal"/>
              <w:tabs>
                <w:tab w:val="clear" w:pos="708"/>
                <w:tab w:val="left" w:pos="7680" w:leader="none"/>
              </w:tabs>
              <w:rPr>
                <w:b/>
                <w:color w:val="000000"/>
              </w:rPr>
            </w:pPr>
            <w:r>
              <w:rPr>
                <w:b/>
                <w:color w:val="000000"/>
              </w:rPr>
            </w:r>
          </w:p>
          <w:p>
            <w:pPr>
              <w:pStyle w:val="Normal"/>
              <w:tabs>
                <w:tab w:val="clear" w:pos="708"/>
                <w:tab w:val="left" w:pos="7680" w:leader="none"/>
              </w:tabs>
              <w:rPr>
                <w:b/>
                <w:color w:val="000000"/>
              </w:rPr>
            </w:pPr>
            <w:r>
              <w:rPr>
                <w:b/>
                <w:color w:val="000000"/>
              </w:rPr>
              <w:t>Поставщик:</w:t>
            </w:r>
          </w:p>
          <w:p>
            <w:pPr>
              <w:pStyle w:val="Normal"/>
              <w:tabs>
                <w:tab w:val="clear" w:pos="708"/>
                <w:tab w:val="left" w:pos="7680" w:leader="none"/>
              </w:tabs>
              <w:rPr>
                <w:b/>
                <w:color w:val="000000"/>
              </w:rPr>
            </w:pPr>
            <w:r>
              <w:rPr>
                <w:b/>
                <w:color w:val="000000"/>
              </w:rPr>
            </w:r>
          </w:p>
          <w:p>
            <w:pPr>
              <w:pStyle w:val="Normal"/>
              <w:rPr/>
            </w:pPr>
            <w:r>
              <w:rPr/>
            </w:r>
          </w:p>
          <w:p>
            <w:pPr>
              <w:pStyle w:val="Normal"/>
              <w:rPr/>
            </w:pPr>
            <w:r>
              <w:rPr/>
            </w:r>
          </w:p>
          <w:p>
            <w:pPr>
              <w:pStyle w:val="Normal"/>
              <w:rPr/>
            </w:pPr>
            <w:r>
              <w:rPr/>
            </w:r>
          </w:p>
          <w:p>
            <w:pPr>
              <w:pStyle w:val="Normal"/>
              <w:rPr/>
            </w:pPr>
            <w:r>
              <w:rPr/>
              <w:t xml:space="preserve">___________                                                       </w:t>
            </w:r>
          </w:p>
          <w:p>
            <w:pPr>
              <w:pStyle w:val="Normal"/>
              <w:rPr/>
            </w:pPr>
            <w:r>
              <w:rPr/>
              <w:t>м.п.</w:t>
            </w:r>
          </w:p>
        </w:tc>
      </w:tr>
    </w:tbl>
    <w:p>
      <w:pPr>
        <w:pStyle w:val="Normal"/>
        <w:spacing w:before="0" w:after="60"/>
        <w:jc w:val="center"/>
        <w:rPr>
          <w:b/>
          <w:bCs/>
        </w:rPr>
      </w:pPr>
      <w:r>
        <w:rPr>
          <w:b/>
          <w:bCs/>
        </w:rPr>
      </w:r>
    </w:p>
    <w:p>
      <w:pPr>
        <w:pStyle w:val="Normal"/>
        <w:spacing w:before="0" w:after="60"/>
        <w:jc w:val="end"/>
        <w:rPr>
          <w:b/>
          <w:bCs/>
        </w:rPr>
      </w:pPr>
      <w:r>
        <w:rPr/>
        <w:t xml:space="preserve">                                                                                                                        </w:t>
      </w:r>
      <w:bookmarkEnd w:id="9"/>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settings.xml><?xml version="1.0" encoding="utf-8"?>
<w:settings xmlns:w="http://schemas.openxmlformats.org/wordprocessingml/2006/main">
  <w:zoom w:percent="13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uiPriority w:val="99"/>
    <w:unhideWhenUsed/>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uiPriority w:val="99"/>
    <w:semiHidden/>
    <w:unhideWhenUsed/>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0">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star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start="720" w:end="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start="720" w:end="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start="283"/>
    </w:pPr>
    <w:rPr/>
  </w:style>
  <w:style w:type="paragraph" w:styleId="TOC3">
    <w:name w:val="toc 3"/>
    <w:basedOn w:val="Normal"/>
    <w:next w:val="Normal"/>
    <w:uiPriority w:val="39"/>
    <w:unhideWhenUsed/>
    <w:pPr>
      <w:spacing w:before="0" w:after="57"/>
      <w:ind w:start="567"/>
    </w:pPr>
    <w:rPr/>
  </w:style>
  <w:style w:type="paragraph" w:styleId="TOC4">
    <w:name w:val="toc 4"/>
    <w:basedOn w:val="Normal"/>
    <w:next w:val="Normal"/>
    <w:uiPriority w:val="39"/>
    <w:unhideWhenUsed/>
    <w:pPr>
      <w:spacing w:before="0" w:after="57"/>
      <w:ind w:start="850"/>
    </w:pPr>
    <w:rPr/>
  </w:style>
  <w:style w:type="paragraph" w:styleId="TOC5">
    <w:name w:val="toc 5"/>
    <w:basedOn w:val="Normal"/>
    <w:next w:val="Normal"/>
    <w:uiPriority w:val="39"/>
    <w:unhideWhenUsed/>
    <w:pPr>
      <w:spacing w:before="0" w:after="57"/>
      <w:ind w:start="1134"/>
    </w:pPr>
    <w:rPr/>
  </w:style>
  <w:style w:type="paragraph" w:styleId="TOC6">
    <w:name w:val="toc 6"/>
    <w:basedOn w:val="Normal"/>
    <w:next w:val="Normal"/>
    <w:uiPriority w:val="39"/>
    <w:unhideWhenUsed/>
    <w:pPr>
      <w:spacing w:before="0" w:after="57"/>
      <w:ind w:start="1417"/>
    </w:pPr>
    <w:rPr/>
  </w:style>
  <w:style w:type="paragraph" w:styleId="TOC7">
    <w:name w:val="toc 7"/>
    <w:basedOn w:val="Normal"/>
    <w:next w:val="Normal"/>
    <w:uiPriority w:val="39"/>
    <w:unhideWhenUsed/>
    <w:pPr>
      <w:spacing w:before="0" w:after="57"/>
      <w:ind w:start="1701"/>
    </w:pPr>
    <w:rPr/>
  </w:style>
  <w:style w:type="paragraph" w:styleId="TOC8">
    <w:name w:val="toc 8"/>
    <w:basedOn w:val="Normal"/>
    <w:next w:val="Normal"/>
    <w:uiPriority w:val="39"/>
    <w:unhideWhenUsed/>
    <w:pPr>
      <w:spacing w:before="0" w:after="57"/>
      <w:ind w:start="1984"/>
    </w:pPr>
    <w:rPr/>
  </w:style>
  <w:style w:type="paragraph" w:styleId="TOC9">
    <w:name w:val="toc 9"/>
    <w:basedOn w:val="Normal"/>
    <w:next w:val="Normal"/>
    <w:uiPriority w:val="39"/>
    <w:unhideWhenUsed/>
    <w:pPr>
      <w:spacing w:before="0" w:after="57"/>
      <w:ind w:start="2268"/>
    </w:pPr>
    <w:rPr/>
  </w:style>
  <w:style w:type="paragraph" w:styleId="IndexHeading">
    <w:name w:val="index heading"/>
    <w:basedOn w:val="Style19"/>
    <w:pPr/>
    <w:rPr/>
  </w:style>
  <w:style w:type="paragraph" w:styleId="TOCHeading">
    <w:name w:val="TOC Heading"/>
    <w:uiPriority w:val="39"/>
    <w:unhideWhenUsed/>
    <w:qFormat/>
    <w:pPr>
      <w:widowControl/>
      <w:suppressAutoHyphens w:val="true"/>
      <w:bidi w:val="0"/>
      <w:spacing w:before="0" w:after="0"/>
      <w:jc w:val="star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star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1">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start"/>
    </w:pPr>
    <w:rPr>
      <w:rFonts w:ascii="Calibri" w:hAnsi="Calibri" w:eastAsia="Times New Roman" w:cs="Calibri"/>
      <w:color w:val="auto"/>
      <w:kern w:val="0"/>
      <w:sz w:val="22"/>
      <w:szCs w:val="22"/>
      <w:lang w:val="ru-RU" w:eastAsia="en-US" w:bidi="ar-SA"/>
    </w:rPr>
  </w:style>
  <w:style w:type="paragraph" w:styleId="Style22">
    <w:name w:val="Содержимое врезки"/>
    <w:basedOn w:val="Normal"/>
    <w:qFormat/>
    <w:pPr/>
    <w:rPr/>
  </w:style>
  <w:style w:type="paragraph" w:styleId="user5">
    <w:name w:val="Содержимое врезки (user)"/>
    <w:basedOn w:val="Normal"/>
    <w:qFormat/>
    <w:pPr/>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1">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1">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1">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28</TotalTime>
  <Application>LibreOffice/25.8.3.2$Linux_X86_64 LibreOffice_project/580$Build-2</Application>
  <AppVersion>15.0000</AppVersion>
  <Pages>7</Pages>
  <Words>3266</Words>
  <Characters>23453</Characters>
  <CharactersWithSpaces>27055</CharactersWithSpaces>
  <Paragraphs>189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2025-02-10T02:27:00Z</dcterms:created>
  <dc:creator>Захаров Никита Сергеевич</dc:creator>
  <dc:description/>
  <dc:language>ru-RU</dc:language>
  <cp:lastModifiedBy/>
  <dcterms:modified xsi:type="dcterms:W3CDTF">2026-10-27T10:32:15Z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