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BE855" w14:textId="2E1CFEDC" w:rsidR="001E7B18" w:rsidRPr="00B008B8" w:rsidRDefault="001E7B18" w:rsidP="005C1F24">
      <w:pPr>
        <w:pStyle w:val="aa"/>
        <w:tabs>
          <w:tab w:val="left" w:pos="6946"/>
        </w:tabs>
        <w:kinsoku w:val="0"/>
        <w:overflowPunct w:val="0"/>
        <w:ind w:right="140" w:firstLine="709"/>
        <w:jc w:val="center"/>
        <w:rPr>
          <w:rFonts w:ascii="XO Thames" w:eastAsia="Times New Roman" w:hAnsi="XO Thames"/>
          <w:b/>
          <w:bCs/>
        </w:rPr>
      </w:pPr>
      <w:r w:rsidRPr="00B008B8">
        <w:rPr>
          <w:rFonts w:ascii="XO Thames" w:hAnsi="XO Thames"/>
          <w:b/>
          <w:bCs/>
        </w:rPr>
        <w:t>Обоснование начальной (максимальной) цены контракта.</w:t>
      </w:r>
    </w:p>
    <w:p w14:paraId="4B3CF5CC" w14:textId="77777777" w:rsidR="001E7B18" w:rsidRPr="00B008B8" w:rsidRDefault="001E7B18" w:rsidP="001E7B18">
      <w:pPr>
        <w:contextualSpacing/>
        <w:jc w:val="center"/>
        <w:rPr>
          <w:rFonts w:ascii="XO Thames" w:hAnsi="XO Thames"/>
          <w:b/>
          <w:bCs/>
          <w:sz w:val="26"/>
          <w:szCs w:val="26"/>
          <w:lang w:bidi="ru-RU"/>
        </w:rPr>
      </w:pPr>
    </w:p>
    <w:p w14:paraId="69EB2EA1" w14:textId="77777777" w:rsidR="00FC6409" w:rsidRPr="00FC6409" w:rsidRDefault="00FC6409" w:rsidP="00FC6409">
      <w:pPr>
        <w:contextualSpacing/>
        <w:rPr>
          <w:rFonts w:ascii="XO Thames" w:hAnsi="XO Thames"/>
          <w:sz w:val="26"/>
          <w:szCs w:val="26"/>
          <w:lang w:bidi="ru-RU"/>
        </w:rPr>
      </w:pP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22"/>
        <w:gridCol w:w="2410"/>
        <w:gridCol w:w="3686"/>
        <w:gridCol w:w="4316"/>
      </w:tblGrid>
      <w:tr w:rsidR="00FC6409" w:rsidRPr="00FC6409" w14:paraId="53963ACB" w14:textId="77777777" w:rsidTr="008F0467">
        <w:trPr>
          <w:trHeight w:val="187"/>
          <w:jc w:val="center"/>
        </w:trPr>
        <w:tc>
          <w:tcPr>
            <w:tcW w:w="3922" w:type="dxa"/>
            <w:vAlign w:val="center"/>
          </w:tcPr>
          <w:p w14:paraId="7E68BB6A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Основные характеристики объекта закупки</w:t>
            </w:r>
          </w:p>
        </w:tc>
        <w:tc>
          <w:tcPr>
            <w:tcW w:w="10412" w:type="dxa"/>
            <w:gridSpan w:val="3"/>
            <w:vAlign w:val="center"/>
          </w:tcPr>
          <w:p w14:paraId="12EAC50D" w14:textId="77777777" w:rsidR="00FC6409" w:rsidRPr="00FC6409" w:rsidRDefault="00FC6409" w:rsidP="00FC6409">
            <w:pPr>
              <w:contextualSpacing/>
              <w:rPr>
                <w:rFonts w:ascii="XO Thames" w:hAnsi="XO Thames"/>
                <w:bCs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bCs/>
                <w:sz w:val="26"/>
                <w:szCs w:val="26"/>
                <w:lang w:bidi="ru-RU"/>
              </w:rPr>
              <w:t>Закупка жестких дисков (HDD) для серверного оборудования</w:t>
            </w:r>
          </w:p>
        </w:tc>
      </w:tr>
      <w:tr w:rsidR="00FC6409" w:rsidRPr="00FC6409" w14:paraId="47BAE3A4" w14:textId="77777777" w:rsidTr="008F0467">
        <w:trPr>
          <w:trHeight w:val="133"/>
          <w:jc w:val="center"/>
        </w:trPr>
        <w:tc>
          <w:tcPr>
            <w:tcW w:w="3922" w:type="dxa"/>
            <w:vMerge w:val="restart"/>
            <w:vAlign w:val="center"/>
          </w:tcPr>
          <w:p w14:paraId="455A6AFE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Цена за единицу, руб.</w:t>
            </w:r>
          </w:p>
        </w:tc>
        <w:tc>
          <w:tcPr>
            <w:tcW w:w="2410" w:type="dxa"/>
            <w:vMerge w:val="restart"/>
            <w:vAlign w:val="center"/>
          </w:tcPr>
          <w:p w14:paraId="38C765AB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ООО «</w:t>
            </w:r>
            <w:proofErr w:type="spellStart"/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АйТек</w:t>
            </w:r>
            <w:proofErr w:type="spellEnd"/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»,</w:t>
            </w:r>
          </w:p>
          <w:p w14:paraId="54943154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Ответ на запрос ценовой информации № 1</w:t>
            </w:r>
          </w:p>
          <w:p w14:paraId="5435460C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от 25.09.2026 № 49</w:t>
            </w:r>
          </w:p>
        </w:tc>
        <w:tc>
          <w:tcPr>
            <w:tcW w:w="8002" w:type="dxa"/>
            <w:gridSpan w:val="2"/>
            <w:vAlign w:val="center"/>
          </w:tcPr>
          <w:p w14:paraId="1ACD0EBB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b/>
                <w:bCs/>
                <w:sz w:val="26"/>
                <w:szCs w:val="26"/>
                <w:lang w:bidi="ru-RU"/>
              </w:rPr>
              <w:t>Гиперссылки</w:t>
            </w:r>
          </w:p>
        </w:tc>
      </w:tr>
      <w:tr w:rsidR="00FC6409" w:rsidRPr="00FC6409" w14:paraId="124CF956" w14:textId="77777777" w:rsidTr="008F0467">
        <w:trPr>
          <w:trHeight w:val="1525"/>
          <w:jc w:val="center"/>
        </w:trPr>
        <w:tc>
          <w:tcPr>
            <w:tcW w:w="3922" w:type="dxa"/>
            <w:vMerge/>
            <w:vAlign w:val="center"/>
          </w:tcPr>
          <w:p w14:paraId="67BBDDE5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</w:p>
        </w:tc>
        <w:tc>
          <w:tcPr>
            <w:tcW w:w="2410" w:type="dxa"/>
            <w:vMerge/>
            <w:vAlign w:val="center"/>
          </w:tcPr>
          <w:p w14:paraId="2D3C99CC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</w:p>
        </w:tc>
        <w:tc>
          <w:tcPr>
            <w:tcW w:w="3686" w:type="dxa"/>
            <w:vAlign w:val="center"/>
          </w:tcPr>
          <w:p w14:paraId="08E4E767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https://www.ritm-it.ru/serverplatform/seagate/seagateoptions/hddseagateent/st600mp0006-100030.htm</w:t>
            </w:r>
          </w:p>
          <w:p w14:paraId="508E080C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инф. № 2 от 25.09.2026 № 50</w:t>
            </w:r>
          </w:p>
        </w:tc>
        <w:tc>
          <w:tcPr>
            <w:tcW w:w="4316" w:type="dxa"/>
            <w:vAlign w:val="center"/>
          </w:tcPr>
          <w:p w14:paraId="73D7A5F3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https://www.chipdip.ru/product/600gb-seagate-enterprise-performance-15k-6-8074059463?from=suggest_product</w:t>
            </w:r>
          </w:p>
          <w:p w14:paraId="33064334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инф. № 3 от 25.09.2026 № 53</w:t>
            </w:r>
          </w:p>
        </w:tc>
      </w:tr>
      <w:tr w:rsidR="00FC6409" w:rsidRPr="00FC6409" w14:paraId="5ECFF81E" w14:textId="77777777" w:rsidTr="008F0467">
        <w:trPr>
          <w:trHeight w:val="575"/>
          <w:jc w:val="center"/>
        </w:trPr>
        <w:tc>
          <w:tcPr>
            <w:tcW w:w="3922" w:type="dxa"/>
            <w:vMerge/>
            <w:vAlign w:val="center"/>
          </w:tcPr>
          <w:p w14:paraId="2E060ABF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</w:p>
        </w:tc>
        <w:tc>
          <w:tcPr>
            <w:tcW w:w="2410" w:type="dxa"/>
            <w:vAlign w:val="center"/>
          </w:tcPr>
          <w:p w14:paraId="38D70533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22 267,00</w:t>
            </w:r>
          </w:p>
        </w:tc>
        <w:tc>
          <w:tcPr>
            <w:tcW w:w="3686" w:type="dxa"/>
            <w:vAlign w:val="center"/>
          </w:tcPr>
          <w:p w14:paraId="2BEF37C4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23 128,00</w:t>
            </w:r>
          </w:p>
        </w:tc>
        <w:tc>
          <w:tcPr>
            <w:tcW w:w="4316" w:type="dxa"/>
            <w:vAlign w:val="center"/>
          </w:tcPr>
          <w:p w14:paraId="133B2390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25 780,00</w:t>
            </w:r>
          </w:p>
        </w:tc>
      </w:tr>
      <w:tr w:rsidR="00FC6409" w:rsidRPr="00FC6409" w14:paraId="02412381" w14:textId="77777777" w:rsidTr="008F0467">
        <w:trPr>
          <w:jc w:val="center"/>
        </w:trPr>
        <w:tc>
          <w:tcPr>
            <w:tcW w:w="3922" w:type="dxa"/>
            <w:vAlign w:val="center"/>
          </w:tcPr>
          <w:p w14:paraId="6B6E8890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Используемый метод определения НМЦК обоснованием</w:t>
            </w:r>
          </w:p>
        </w:tc>
        <w:tc>
          <w:tcPr>
            <w:tcW w:w="10412" w:type="dxa"/>
            <w:gridSpan w:val="3"/>
            <w:vAlign w:val="center"/>
          </w:tcPr>
          <w:p w14:paraId="0A79EB36" w14:textId="17F33660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bCs/>
                <w:sz w:val="26"/>
                <w:szCs w:val="26"/>
                <w:lang w:bidi="ru-RU"/>
              </w:rPr>
              <w:t xml:space="preserve">Определение НМЦК в соответствии с </w:t>
            </w: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      </w:r>
            <w:r w:rsidRPr="00FC6409">
              <w:rPr>
                <w:rFonts w:ascii="XO Thames" w:hAnsi="XO Thames"/>
                <w:b/>
                <w:bCs/>
                <w:sz w:val="26"/>
                <w:szCs w:val="26"/>
                <w:lang w:bidi="ru-RU"/>
              </w:rPr>
              <w:t xml:space="preserve">» </w:t>
            </w:r>
            <w:r w:rsidRPr="00FC6409">
              <w:rPr>
                <w:rFonts w:ascii="XO Thames" w:hAnsi="XO Thames"/>
                <w:bCs/>
                <w:sz w:val="26"/>
                <w:szCs w:val="26"/>
                <w:lang w:bidi="ru-RU"/>
              </w:rPr>
              <w:t>методом сопоставимых рыночных цен. Метод сопоставимых рыночных цен является приоритетным при расчете НМЦК.</w:t>
            </w:r>
          </w:p>
        </w:tc>
      </w:tr>
      <w:tr w:rsidR="00FC6409" w:rsidRPr="00FC6409" w14:paraId="7A9FC41D" w14:textId="77777777" w:rsidTr="008F0467">
        <w:trPr>
          <w:trHeight w:val="70"/>
          <w:jc w:val="center"/>
        </w:trPr>
        <w:tc>
          <w:tcPr>
            <w:tcW w:w="3922" w:type="dxa"/>
            <w:vMerge w:val="restart"/>
            <w:vAlign w:val="center"/>
          </w:tcPr>
          <w:p w14:paraId="17FBB7C6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Однородность совокупности значений выявленных цен, используемых</w:t>
            </w:r>
          </w:p>
          <w:p w14:paraId="2EC5EB58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в расчете НМЦК</w:t>
            </w:r>
          </w:p>
        </w:tc>
        <w:tc>
          <w:tcPr>
            <w:tcW w:w="10412" w:type="dxa"/>
            <w:gridSpan w:val="3"/>
            <w:vAlign w:val="center"/>
          </w:tcPr>
          <w:p w14:paraId="79E2533A" w14:textId="77777777" w:rsidR="00FC6409" w:rsidRPr="00FC6409" w:rsidRDefault="00FC6409" w:rsidP="00FC6409">
            <w:pPr>
              <w:contextualSpacing/>
              <w:rPr>
                <w:rFonts w:ascii="XO Thames" w:hAnsi="XO Thames"/>
                <w:b/>
                <w:bCs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bCs/>
                <w:sz w:val="26"/>
                <w:szCs w:val="26"/>
                <w:lang w:bidi="ru-RU"/>
              </w:rPr>
              <w:t>Закупка комплектующих к компьютерной технике</w:t>
            </w:r>
          </w:p>
        </w:tc>
      </w:tr>
      <w:tr w:rsidR="00FC6409" w:rsidRPr="00FC6409" w14:paraId="48B24E7F" w14:textId="77777777" w:rsidTr="008F0467">
        <w:trPr>
          <w:trHeight w:val="1688"/>
          <w:jc w:val="center"/>
        </w:trPr>
        <w:tc>
          <w:tcPr>
            <w:tcW w:w="3922" w:type="dxa"/>
            <w:vMerge/>
            <w:vAlign w:val="center"/>
          </w:tcPr>
          <w:p w14:paraId="5E338A0A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</w:p>
        </w:tc>
        <w:tc>
          <w:tcPr>
            <w:tcW w:w="2410" w:type="dxa"/>
            <w:vAlign w:val="center"/>
          </w:tcPr>
          <w:p w14:paraId="7A43850F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Средняя арифметическая </w:t>
            </w:r>
            <w:proofErr w:type="gramStart"/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цена  единицы</w:t>
            </w:r>
            <w:proofErr w:type="gramEnd"/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 товара, работы, услуги &lt;ц&gt;</w:t>
            </w:r>
          </w:p>
        </w:tc>
        <w:tc>
          <w:tcPr>
            <w:tcW w:w="3686" w:type="dxa"/>
            <w:vAlign w:val="center"/>
          </w:tcPr>
          <w:p w14:paraId="0B549214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Среднее квадратичное отклонение</w:t>
            </w:r>
            <w:r w:rsidRPr="00FC6409">
              <w:rPr>
                <w:rFonts w:ascii="XO Thames" w:hAnsi="XO Thames"/>
                <w:noProof/>
                <w:sz w:val="26"/>
                <w:szCs w:val="26"/>
                <w:lang w:bidi="ru-RU"/>
              </w:rPr>
              <w:drawing>
                <wp:inline distT="0" distB="0" distL="0" distR="0" wp14:anchorId="37089303" wp14:editId="5EFCAEE8">
                  <wp:extent cx="1028700" cy="438150"/>
                  <wp:effectExtent l="19050" t="0" r="0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6" w:type="dxa"/>
            <w:vAlign w:val="center"/>
          </w:tcPr>
          <w:p w14:paraId="4674C608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Коэффициент вариации цен V (%) (не должен превышать 33%)</w:t>
            </w:r>
          </w:p>
          <w:p w14:paraId="08DE06AA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noProof/>
                <w:sz w:val="26"/>
                <w:szCs w:val="26"/>
                <w:lang w:bidi="ru-RU"/>
              </w:rPr>
              <w:drawing>
                <wp:inline distT="0" distB="0" distL="0" distR="0" wp14:anchorId="1ECEEBCD" wp14:editId="0338D212">
                  <wp:extent cx="952500" cy="352425"/>
                  <wp:effectExtent l="19050" t="0" r="0" b="0"/>
                  <wp:docPr id="2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409" w:rsidRPr="00FC6409" w14:paraId="3EA07759" w14:textId="77777777" w:rsidTr="008F0467">
        <w:trPr>
          <w:trHeight w:val="279"/>
          <w:jc w:val="center"/>
        </w:trPr>
        <w:tc>
          <w:tcPr>
            <w:tcW w:w="3922" w:type="dxa"/>
            <w:vMerge/>
            <w:vAlign w:val="center"/>
          </w:tcPr>
          <w:p w14:paraId="7B7A3473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</w:p>
        </w:tc>
        <w:tc>
          <w:tcPr>
            <w:tcW w:w="2410" w:type="dxa"/>
            <w:vAlign w:val="center"/>
          </w:tcPr>
          <w:p w14:paraId="1A3B2993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23 735,00</w:t>
            </w:r>
          </w:p>
        </w:tc>
        <w:tc>
          <w:tcPr>
            <w:tcW w:w="3686" w:type="dxa"/>
            <w:vAlign w:val="center"/>
          </w:tcPr>
          <w:p w14:paraId="6AB6A160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1831,0104</w:t>
            </w:r>
          </w:p>
        </w:tc>
        <w:tc>
          <w:tcPr>
            <w:tcW w:w="4316" w:type="dxa"/>
            <w:vAlign w:val="center"/>
          </w:tcPr>
          <w:p w14:paraId="7B59C9D2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8,0</w:t>
            </w:r>
          </w:p>
        </w:tc>
      </w:tr>
      <w:tr w:rsidR="00FC6409" w:rsidRPr="00FC6409" w14:paraId="7AAE1B58" w14:textId="77777777" w:rsidTr="008F0467">
        <w:trPr>
          <w:trHeight w:val="70"/>
          <w:jc w:val="center"/>
        </w:trPr>
        <w:tc>
          <w:tcPr>
            <w:tcW w:w="3922" w:type="dxa"/>
            <w:vAlign w:val="center"/>
          </w:tcPr>
          <w:p w14:paraId="2D0F6720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Расчет НМЦК</w:t>
            </w:r>
          </w:p>
        </w:tc>
        <w:tc>
          <w:tcPr>
            <w:tcW w:w="10412" w:type="dxa"/>
            <w:gridSpan w:val="3"/>
            <w:vAlign w:val="center"/>
          </w:tcPr>
          <w:p w14:paraId="42F40FA4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noProof/>
                <w:sz w:val="26"/>
                <w:szCs w:val="26"/>
                <w:lang w:bidi="ru-RU"/>
              </w:rPr>
              <w:drawing>
                <wp:inline distT="0" distB="0" distL="0" distR="0" wp14:anchorId="35DFB1AA" wp14:editId="61AF9848">
                  <wp:extent cx="1625600" cy="406400"/>
                  <wp:effectExtent l="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600" cy="40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08D854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где </w:t>
            </w:r>
          </w:p>
          <w:p w14:paraId="765FC882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noProof/>
                <w:sz w:val="26"/>
                <w:szCs w:val="26"/>
                <w:lang w:bidi="ru-RU"/>
              </w:rPr>
              <w:drawing>
                <wp:inline distT="0" distB="0" distL="0" distR="0" wp14:anchorId="2871E49D" wp14:editId="345C2870">
                  <wp:extent cx="685800" cy="228600"/>
                  <wp:effectExtent l="0" t="0" r="0" b="0"/>
                  <wp:docPr id="1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 – НМЦК, определяемая методом сопоставимых рыночных цен (анализа рынка);</w:t>
            </w:r>
          </w:p>
          <w:p w14:paraId="539C13B1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     v - количество (объем) закупаемого товара;</w:t>
            </w:r>
          </w:p>
          <w:p w14:paraId="25AC5FDE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lastRenderedPageBreak/>
              <w:t xml:space="preserve">     n - количество значений, используемых в расчете;</w:t>
            </w:r>
          </w:p>
          <w:p w14:paraId="60E69712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  i - номер источника ценовой информации;</w:t>
            </w:r>
          </w:p>
          <w:p w14:paraId="093E7C10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noProof/>
                <w:sz w:val="26"/>
                <w:szCs w:val="26"/>
                <w:lang w:bidi="ru-RU"/>
              </w:rPr>
              <w:drawing>
                <wp:inline distT="0" distB="0" distL="0" distR="0" wp14:anchorId="4E881C84" wp14:editId="56BAC6E6">
                  <wp:extent cx="152400" cy="228600"/>
                  <wp:effectExtent l="19050" t="0" r="0" b="0"/>
                  <wp:docPr id="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- цена единицы товара, работы, услуги, представленная в источнике </w:t>
            </w: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br/>
              <w:t xml:space="preserve">с номером i, скорректированная с учетом коэффициентов (индексов), применяемых для пересчета цен товаров с учетом различий в характеристиках товаров, коммерческих и (или) финансовых условий поставки товара. </w:t>
            </w:r>
          </w:p>
          <w:p w14:paraId="3D2A2237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Так как в расчете используются цены, полученные в ответ на запросы ценовой информации, корректировка условий не производится. </w:t>
            </w:r>
          </w:p>
          <w:p w14:paraId="146F7EDC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</w:p>
          <w:p w14:paraId="14628076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НМЦК </w:t>
            </w:r>
            <w:proofErr w:type="spellStart"/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рын</w:t>
            </w:r>
            <w:proofErr w:type="spellEnd"/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>. = (расчет) = 2 х 23 735,00 = 47 470 руб.</w:t>
            </w:r>
          </w:p>
          <w:p w14:paraId="21E6EDBC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</w:p>
          <w:p w14:paraId="333B07FC" w14:textId="77777777" w:rsidR="00FC6409" w:rsidRPr="00FC6409" w:rsidRDefault="00FC6409" w:rsidP="00FC6409">
            <w:pPr>
              <w:contextualSpacing/>
              <w:rPr>
                <w:rFonts w:ascii="XO Thames" w:hAnsi="XO Thames"/>
                <w:sz w:val="26"/>
                <w:szCs w:val="26"/>
                <w:lang w:bidi="ru-RU"/>
              </w:rPr>
            </w:pP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Согласно ст. 34 Бюджетного кодекса Российской Федерации для эффективного расходования денежных средств установленной начальной максимальной ценой контракта, </w:t>
            </w:r>
            <w:r w:rsidRPr="00FC6409">
              <w:rPr>
                <w:rFonts w:ascii="XO Thames" w:hAnsi="XO Thames"/>
                <w:b/>
                <w:i/>
                <w:sz w:val="26"/>
                <w:szCs w:val="26"/>
                <w:lang w:bidi="ru-RU"/>
              </w:rPr>
              <w:t>принимаем минимальную цену из полученных коммерческих предложений</w:t>
            </w: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 на сумму </w:t>
            </w:r>
            <w:r w:rsidRPr="00FC6409">
              <w:rPr>
                <w:rFonts w:ascii="XO Thames" w:hAnsi="XO Thames"/>
                <w:b/>
                <w:sz w:val="26"/>
                <w:szCs w:val="26"/>
                <w:lang w:bidi="ru-RU"/>
              </w:rPr>
              <w:t xml:space="preserve">44 534,00 </w:t>
            </w: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(сорок четыре тысячи пятьсот тридцать четыре) рублей </w:t>
            </w:r>
            <w:r w:rsidRPr="00FC6409">
              <w:rPr>
                <w:rFonts w:ascii="XO Thames" w:hAnsi="XO Thames"/>
                <w:b/>
                <w:bCs/>
                <w:sz w:val="26"/>
                <w:szCs w:val="26"/>
                <w:lang w:bidi="ru-RU"/>
              </w:rPr>
              <w:t>00</w:t>
            </w:r>
            <w:r w:rsidRPr="00FC6409">
              <w:rPr>
                <w:rFonts w:ascii="XO Thames" w:hAnsi="XO Thames"/>
                <w:sz w:val="26"/>
                <w:szCs w:val="26"/>
                <w:lang w:bidi="ru-RU"/>
              </w:rPr>
              <w:t xml:space="preserve"> копеек (коммерческое предложение Поставщика № 1).</w:t>
            </w:r>
          </w:p>
        </w:tc>
      </w:tr>
    </w:tbl>
    <w:p w14:paraId="7ADBDA40" w14:textId="77777777" w:rsidR="00FC6409" w:rsidRPr="00FC6409" w:rsidRDefault="00FC6409" w:rsidP="00FC6409">
      <w:pPr>
        <w:contextualSpacing/>
        <w:rPr>
          <w:rFonts w:ascii="XO Thames" w:hAnsi="XO Thames"/>
          <w:sz w:val="26"/>
          <w:szCs w:val="26"/>
          <w:lang w:bidi="ru-RU"/>
        </w:rPr>
      </w:pPr>
    </w:p>
    <w:sectPr w:rsidR="00FC6409" w:rsidRPr="00FC6409" w:rsidSect="005C1F24">
      <w:headerReference w:type="default" r:id="rId13"/>
      <w:pgSz w:w="16838" w:h="11906" w:orient="landscape" w:code="9"/>
      <w:pgMar w:top="709" w:right="1134" w:bottom="1701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07162" w14:textId="77777777" w:rsidR="001F5D75" w:rsidRDefault="001F5D75" w:rsidP="002B66D0">
      <w:r>
        <w:separator/>
      </w:r>
    </w:p>
  </w:endnote>
  <w:endnote w:type="continuationSeparator" w:id="0">
    <w:p w14:paraId="31031EBA" w14:textId="77777777" w:rsidR="001F5D75" w:rsidRDefault="001F5D75" w:rsidP="002B6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450AA" w14:textId="77777777" w:rsidR="001F5D75" w:rsidRDefault="001F5D75" w:rsidP="002B66D0">
      <w:r>
        <w:separator/>
      </w:r>
    </w:p>
  </w:footnote>
  <w:footnote w:type="continuationSeparator" w:id="0">
    <w:p w14:paraId="3E528A93" w14:textId="77777777" w:rsidR="001F5D75" w:rsidRDefault="001F5D75" w:rsidP="002B6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EAC51" w14:textId="28200B61" w:rsidR="002B66D0" w:rsidRDefault="002B66D0">
    <w:pPr>
      <w:pStyle w:val="a3"/>
      <w:jc w:val="center"/>
    </w:pPr>
  </w:p>
  <w:p w14:paraId="4125590C" w14:textId="77777777" w:rsidR="002B66D0" w:rsidRDefault="002B66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44D76"/>
    <w:multiLevelType w:val="hybridMultilevel"/>
    <w:tmpl w:val="5AF8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72858"/>
    <w:multiLevelType w:val="multilevel"/>
    <w:tmpl w:val="DA5A47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125411"/>
    <w:multiLevelType w:val="multilevel"/>
    <w:tmpl w:val="A000A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7B2277"/>
    <w:multiLevelType w:val="multilevel"/>
    <w:tmpl w:val="C9D0DA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D878AB"/>
    <w:multiLevelType w:val="multilevel"/>
    <w:tmpl w:val="C9D0DA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7628825">
    <w:abstractNumId w:val="2"/>
  </w:num>
  <w:num w:numId="2" w16cid:durableId="19821208">
    <w:abstractNumId w:val="3"/>
  </w:num>
  <w:num w:numId="3" w16cid:durableId="39063919">
    <w:abstractNumId w:val="1"/>
  </w:num>
  <w:num w:numId="4" w16cid:durableId="1410620654">
    <w:abstractNumId w:val="0"/>
  </w:num>
  <w:num w:numId="5" w16cid:durableId="1158182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60C"/>
    <w:rsid w:val="0000538E"/>
    <w:rsid w:val="000A4909"/>
    <w:rsid w:val="000B452C"/>
    <w:rsid w:val="00104001"/>
    <w:rsid w:val="001147D2"/>
    <w:rsid w:val="0014077B"/>
    <w:rsid w:val="00151ADA"/>
    <w:rsid w:val="001630FF"/>
    <w:rsid w:val="001978F3"/>
    <w:rsid w:val="001B52A6"/>
    <w:rsid w:val="001C6BF5"/>
    <w:rsid w:val="001E7B18"/>
    <w:rsid w:val="001F5D75"/>
    <w:rsid w:val="001F7DEE"/>
    <w:rsid w:val="00201983"/>
    <w:rsid w:val="0020785E"/>
    <w:rsid w:val="00246F74"/>
    <w:rsid w:val="00264690"/>
    <w:rsid w:val="00294440"/>
    <w:rsid w:val="002A050D"/>
    <w:rsid w:val="002A3738"/>
    <w:rsid w:val="002B4E8A"/>
    <w:rsid w:val="002B5E18"/>
    <w:rsid w:val="002B66D0"/>
    <w:rsid w:val="00300A45"/>
    <w:rsid w:val="0035244F"/>
    <w:rsid w:val="00363ADE"/>
    <w:rsid w:val="003D5669"/>
    <w:rsid w:val="003F1FC7"/>
    <w:rsid w:val="003F4B7A"/>
    <w:rsid w:val="004109D9"/>
    <w:rsid w:val="004473B1"/>
    <w:rsid w:val="004F0795"/>
    <w:rsid w:val="005420B9"/>
    <w:rsid w:val="00551794"/>
    <w:rsid w:val="005724D0"/>
    <w:rsid w:val="00575049"/>
    <w:rsid w:val="00585EBC"/>
    <w:rsid w:val="00593E07"/>
    <w:rsid w:val="005B754B"/>
    <w:rsid w:val="005C11DF"/>
    <w:rsid w:val="005C1F24"/>
    <w:rsid w:val="005D539C"/>
    <w:rsid w:val="00630E39"/>
    <w:rsid w:val="0063122A"/>
    <w:rsid w:val="0066348C"/>
    <w:rsid w:val="00664553"/>
    <w:rsid w:val="0066783E"/>
    <w:rsid w:val="00671311"/>
    <w:rsid w:val="00671569"/>
    <w:rsid w:val="0067716F"/>
    <w:rsid w:val="00692B5E"/>
    <w:rsid w:val="006B0BD0"/>
    <w:rsid w:val="006B6A55"/>
    <w:rsid w:val="006E52BB"/>
    <w:rsid w:val="00714086"/>
    <w:rsid w:val="00720111"/>
    <w:rsid w:val="007869A6"/>
    <w:rsid w:val="007956FD"/>
    <w:rsid w:val="007D04FD"/>
    <w:rsid w:val="007E6128"/>
    <w:rsid w:val="00885BA9"/>
    <w:rsid w:val="00893C36"/>
    <w:rsid w:val="008A35F7"/>
    <w:rsid w:val="008C03E6"/>
    <w:rsid w:val="008E7E5C"/>
    <w:rsid w:val="0090679E"/>
    <w:rsid w:val="009155D2"/>
    <w:rsid w:val="00931FF7"/>
    <w:rsid w:val="00932B83"/>
    <w:rsid w:val="00996428"/>
    <w:rsid w:val="009A52A9"/>
    <w:rsid w:val="009A616E"/>
    <w:rsid w:val="009F7277"/>
    <w:rsid w:val="00A54A40"/>
    <w:rsid w:val="00A8758E"/>
    <w:rsid w:val="00AA1E36"/>
    <w:rsid w:val="00AA373C"/>
    <w:rsid w:val="00AC1667"/>
    <w:rsid w:val="00AC403B"/>
    <w:rsid w:val="00AD10E9"/>
    <w:rsid w:val="00AF0A4C"/>
    <w:rsid w:val="00B124C7"/>
    <w:rsid w:val="00B177DD"/>
    <w:rsid w:val="00B30B49"/>
    <w:rsid w:val="00B64BDC"/>
    <w:rsid w:val="00B66842"/>
    <w:rsid w:val="00B8560C"/>
    <w:rsid w:val="00BB3070"/>
    <w:rsid w:val="00BD5990"/>
    <w:rsid w:val="00C52033"/>
    <w:rsid w:val="00C630C0"/>
    <w:rsid w:val="00C65F97"/>
    <w:rsid w:val="00C8782C"/>
    <w:rsid w:val="00C9542E"/>
    <w:rsid w:val="00CC13F2"/>
    <w:rsid w:val="00D162BA"/>
    <w:rsid w:val="00D32CA0"/>
    <w:rsid w:val="00D85B6E"/>
    <w:rsid w:val="00DB04E3"/>
    <w:rsid w:val="00DE1E99"/>
    <w:rsid w:val="00E128C9"/>
    <w:rsid w:val="00E8501A"/>
    <w:rsid w:val="00ED2A2D"/>
    <w:rsid w:val="00EE59AF"/>
    <w:rsid w:val="00F134B5"/>
    <w:rsid w:val="00F41637"/>
    <w:rsid w:val="00F51B9B"/>
    <w:rsid w:val="00FB0FF0"/>
    <w:rsid w:val="00FB7AF9"/>
    <w:rsid w:val="00FC6409"/>
    <w:rsid w:val="00FE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CEA8B"/>
  <w15:chartTrackingRefBased/>
  <w15:docId w15:val="{A6FE7128-D141-44A0-A2DD-559CCA24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8560C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60C"/>
    <w:pPr>
      <w:widowControl w:val="0"/>
      <w:shd w:val="clear" w:color="auto" w:fill="FFFFFF"/>
      <w:spacing w:after="60" w:line="0" w:lineRule="atLeast"/>
      <w:ind w:hanging="160"/>
      <w:jc w:val="left"/>
    </w:pPr>
    <w:rPr>
      <w:rFonts w:eastAsia="Times New Roman"/>
    </w:rPr>
  </w:style>
  <w:style w:type="character" w:customStyle="1" w:styleId="21">
    <w:name w:val="Основной текст (2) + Полужирный"/>
    <w:basedOn w:val="2"/>
    <w:rsid w:val="00B856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2B66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66D0"/>
  </w:style>
  <w:style w:type="paragraph" w:styleId="a5">
    <w:name w:val="footer"/>
    <w:basedOn w:val="a"/>
    <w:link w:val="a6"/>
    <w:uiPriority w:val="99"/>
    <w:unhideWhenUsed/>
    <w:rsid w:val="002B66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66D0"/>
  </w:style>
  <w:style w:type="paragraph" w:styleId="a7">
    <w:name w:val="List Paragraph"/>
    <w:basedOn w:val="a"/>
    <w:uiPriority w:val="34"/>
    <w:qFormat/>
    <w:rsid w:val="004109D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30B4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0B49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1"/>
    <w:qFormat/>
    <w:rsid w:val="001E7B18"/>
    <w:pPr>
      <w:widowControl w:val="0"/>
      <w:autoSpaceDE w:val="0"/>
      <w:autoSpaceDN w:val="0"/>
      <w:adjustRightInd w:val="0"/>
      <w:jc w:val="left"/>
    </w:pPr>
    <w:rPr>
      <w:rFonts w:eastAsiaTheme="minorEastAsia"/>
      <w:lang w:eastAsia="ru-RU"/>
    </w:rPr>
  </w:style>
  <w:style w:type="character" w:customStyle="1" w:styleId="ab">
    <w:name w:val="Основной текст Знак"/>
    <w:basedOn w:val="a0"/>
    <w:link w:val="aa"/>
    <w:uiPriority w:val="1"/>
    <w:rsid w:val="001E7B18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1E7B18"/>
    <w:pPr>
      <w:widowControl w:val="0"/>
      <w:autoSpaceDE w:val="0"/>
      <w:autoSpaceDN w:val="0"/>
      <w:adjustRightInd w:val="0"/>
      <w:jc w:val="left"/>
    </w:pPr>
    <w:rPr>
      <w:rFonts w:eastAsiaTheme="minorEastAsia"/>
      <w:sz w:val="24"/>
      <w:szCs w:val="24"/>
      <w:lang w:eastAsia="ru-RU"/>
    </w:rPr>
  </w:style>
  <w:style w:type="table" w:styleId="ac">
    <w:name w:val="Table Grid"/>
    <w:basedOn w:val="a1"/>
    <w:uiPriority w:val="39"/>
    <w:rsid w:val="00FC6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C640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C6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F8447-E7E7-4365-81B7-6AA36A77C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ROiT</dc:creator>
  <cp:keywords/>
  <dc:description/>
  <cp:lastModifiedBy>Николай Плохов</cp:lastModifiedBy>
  <cp:revision>2</cp:revision>
  <cp:lastPrinted>2023-12-11T08:24:00Z</cp:lastPrinted>
  <dcterms:created xsi:type="dcterms:W3CDTF">2026-10-26T05:43:00Z</dcterms:created>
  <dcterms:modified xsi:type="dcterms:W3CDTF">2026-10-26T05:43:00Z</dcterms:modified>
</cp:coreProperties>
</file>