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sz w:val="24"/>
          <w:szCs w:val="24"/>
          <w:lang w:bidi="en-US"/>
        </w:rPr>
        <w:t xml:space="preserve">Обоснование начальной цены единицы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bidi="en-US"/>
        </w:rPr>
        <w:t>на оказание услуг по техническому обслуживанию автомобилей в 2026 году</w:t>
      </w:r>
      <w:r>
        <w:rPr>
          <w:rFonts w:eastAsia="Times New Roman" w:cs="Times New Roman" w:ascii="Times New Roman" w:hAnsi="Times New Roman"/>
          <w:b/>
          <w:sz w:val="24"/>
          <w:szCs w:val="24"/>
          <w:lang w:bidi="en-US"/>
        </w:rPr>
        <w:t>.</w:t>
      </w:r>
    </w:p>
    <w:p>
      <w:pPr>
        <w:pStyle w:val="Normal"/>
        <w:jc w:val="center"/>
        <w:rPr>
          <w:rFonts w:ascii="Liberation Serif" w:hAnsi="Liberation Serif"/>
          <w:b/>
          <w:bCs/>
          <w:color w:val="000000"/>
        </w:rPr>
      </w:pPr>
      <w:r>
        <w:rPr>
          <w:rFonts w:ascii="Liberation Serif" w:hAnsi="Liberation Serif"/>
          <w:b/>
          <w:bCs/>
          <w:color w:val="000000"/>
        </w:rPr>
        <w:t>ИКЗ 26 1 6731048270673201001 0026 04</w:t>
      </w:r>
      <w:r>
        <w:rPr>
          <w:rFonts w:ascii="Liberation Serif" w:hAnsi="Liberation Serif"/>
          <w:b/>
          <w:bCs/>
          <w:color w:val="000000"/>
        </w:rPr>
        <w:t>1</w:t>
      </w:r>
      <w:r>
        <w:rPr>
          <w:rFonts w:ascii="Liberation Serif" w:hAnsi="Liberation Serif"/>
          <w:b/>
          <w:bCs/>
          <w:color w:val="000000"/>
        </w:rPr>
        <w:t xml:space="preserve"> 0000 244</w:t>
      </w:r>
    </w:p>
    <w:tbl>
      <w:tblPr>
        <w:tblW w:w="15054" w:type="dxa"/>
        <w:jc w:val="left"/>
        <w:tblInd w:w="0" w:type="dxa"/>
        <w:tblLayout w:type="fixed"/>
        <w:tblCellMar>
          <w:top w:w="0" w:type="dxa"/>
          <w:left w:w="23" w:type="dxa"/>
          <w:bottom w:w="0" w:type="dxa"/>
          <w:right w:w="28" w:type="dxa"/>
        </w:tblCellMar>
        <w:tblLook w:val="04a0"/>
      </w:tblPr>
      <w:tblGrid>
        <w:gridCol w:w="459"/>
        <w:gridCol w:w="2816"/>
        <w:gridCol w:w="2338"/>
        <w:gridCol w:w="1191"/>
        <w:gridCol w:w="676"/>
        <w:gridCol w:w="1135"/>
        <w:gridCol w:w="2156"/>
        <w:gridCol w:w="2214"/>
        <w:gridCol w:w="2069"/>
      </w:tblGrid>
      <w:tr>
        <w:trPr>
          <w:trHeight w:val="571" w:hRule="atLeast"/>
        </w:trPr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Наименование объекта закупки</w:t>
            </w:r>
          </w:p>
        </w:tc>
        <w:tc>
          <w:tcPr>
            <w:tcW w:w="117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Услуги 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bidi="en-US"/>
              </w:rPr>
              <w:t>услуг по техническому обслуживанию автомобилей в 2026 году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.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2000" w:hRule="atLeast"/>
        </w:trPr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spacing w:before="0" w:after="0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Используемый метод определения начальной (максимальной) цены Контракта (далее – НМЦК).</w:t>
            </w:r>
          </w:p>
        </w:tc>
        <w:tc>
          <w:tcPr>
            <w:tcW w:w="117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ind w:firstLine="709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силу п. 6 ст.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цена контракта определена  приоритетным для определения и обоснования начальной цены контракта методом сопоставимых рыночных цен (анализа рынка).</w:t>
            </w:r>
          </w:p>
          <w:p>
            <w:pPr>
              <w:pStyle w:val="Normal"/>
              <w:spacing w:before="0" w:after="0"/>
              <w:ind w:firstLine="709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 целью определения цены контракта проведен сравнительный анализ цен организаций, оказывающих идентичные услуги.  Представлено три коммерческих предложения:</w:t>
            </w:r>
          </w:p>
        </w:tc>
      </w:tr>
      <w:tr>
        <w:trPr>
          <w:trHeight w:val="380" w:hRule="atLeast"/>
        </w:trPr>
        <w:tc>
          <w:tcPr>
            <w:tcW w:w="1505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tcMar>
              <w:left w:w="47" w:type="dxa"/>
              <w:right w:w="5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Ин</w:t>
            </w:r>
            <w:bookmarkStart w:id="0" w:name="_GoBack"/>
            <w:bookmarkEnd w:id="0"/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формация о НМЦК  из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документов, полученных Заказчиком по его запросам</w:t>
            </w:r>
          </w:p>
        </w:tc>
      </w:tr>
      <w:tr>
        <w:trPr>
          <w:trHeight w:val="305" w:hRule="atLeast"/>
        </w:trPr>
        <w:tc>
          <w:tcPr>
            <w:tcW w:w="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tcMar>
              <w:top w:w="55" w:type="dxa"/>
              <w:left w:w="47" w:type="dxa"/>
              <w:bottom w:w="55" w:type="dxa"/>
              <w:right w:w="5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  <w:color w:val="000000"/>
                <w:sz w:val="20"/>
                <w:szCs w:val="20"/>
              </w:rPr>
              <w:t xml:space="preserve">№ </w:t>
            </w:r>
            <w:r>
              <w:rPr>
                <w:rFonts w:cs="Times New Roman" w:ascii="Times New Roman" w:hAnsi="Times New Roman"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51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tcMar>
              <w:top w:w="55" w:type="dxa"/>
              <w:left w:w="47" w:type="dxa"/>
              <w:bottom w:w="55" w:type="dxa"/>
              <w:right w:w="5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  <w:color w:val="000000"/>
                <w:sz w:val="20"/>
                <w:szCs w:val="20"/>
              </w:rPr>
              <w:t>Наименование товара, услуг</w:t>
            </w:r>
          </w:p>
        </w:tc>
        <w:tc>
          <w:tcPr>
            <w:tcW w:w="1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tcMar>
              <w:top w:w="55" w:type="dxa"/>
              <w:left w:w="47" w:type="dxa"/>
              <w:bottom w:w="55" w:type="dxa"/>
              <w:right w:w="5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  <w:color w:val="000000"/>
                <w:sz w:val="20"/>
                <w:szCs w:val="20"/>
              </w:rPr>
              <w:t>ОКПД 2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0"/>
                <w:szCs w:val="20"/>
              </w:rPr>
            </w:r>
          </w:p>
        </w:tc>
        <w:tc>
          <w:tcPr>
            <w:tcW w:w="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tcMar>
              <w:top w:w="55" w:type="dxa"/>
              <w:left w:w="47" w:type="dxa"/>
              <w:bottom w:w="55" w:type="dxa"/>
              <w:right w:w="5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  <w:color w:val="000000"/>
                <w:sz w:val="20"/>
                <w:szCs w:val="20"/>
              </w:rPr>
              <w:t>Коэф.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  <w:color w:val="000000"/>
                <w:sz w:val="20"/>
                <w:szCs w:val="20"/>
              </w:rPr>
              <w:t>вариа-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  <w:color w:val="000000"/>
                <w:sz w:val="20"/>
                <w:szCs w:val="20"/>
              </w:rPr>
              <w:t>ции,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tcMar>
              <w:top w:w="55" w:type="dxa"/>
              <w:left w:w="47" w:type="dxa"/>
              <w:bottom w:w="55" w:type="dxa"/>
              <w:right w:w="5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64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tcMar>
              <w:top w:w="55" w:type="dxa"/>
              <w:left w:w="47" w:type="dxa"/>
              <w:bottom w:w="55" w:type="dxa"/>
              <w:right w:w="57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firstLine="709"/>
              <w:jc w:val="center"/>
              <w:rPr/>
            </w:pPr>
            <w:r>
              <w:rPr>
                <w:rFonts w:cs="Times New Roman" w:ascii="Times New Roman" w:hAnsi="Times New Roman"/>
                <w:bCs/>
                <w:color w:val="000000"/>
                <w:sz w:val="20"/>
                <w:szCs w:val="20"/>
              </w:rPr>
              <w:t>Цена за услугу, руб.</w:t>
            </w:r>
          </w:p>
        </w:tc>
      </w:tr>
      <w:tr>
        <w:trPr>
          <w:trHeight w:val="935" w:hRule="atLeast"/>
        </w:trPr>
        <w:tc>
          <w:tcPr>
            <w:tcW w:w="4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tcMar>
              <w:top w:w="55" w:type="dxa"/>
              <w:left w:w="47" w:type="dxa"/>
              <w:bottom w:w="55" w:type="dxa"/>
              <w:right w:w="5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515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tcMar>
              <w:top w:w="55" w:type="dxa"/>
              <w:left w:w="47" w:type="dxa"/>
              <w:bottom w:w="55" w:type="dxa"/>
              <w:right w:w="5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1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tcMar>
              <w:top w:w="55" w:type="dxa"/>
              <w:left w:w="47" w:type="dxa"/>
              <w:bottom w:w="55" w:type="dxa"/>
              <w:right w:w="5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0"/>
                <w:szCs w:val="20"/>
              </w:rPr>
            </w:r>
          </w:p>
        </w:tc>
        <w:tc>
          <w:tcPr>
            <w:tcW w:w="6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tcMar>
              <w:top w:w="55" w:type="dxa"/>
              <w:left w:w="47" w:type="dxa"/>
              <w:bottom w:w="55" w:type="dxa"/>
              <w:right w:w="5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1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tcMar>
              <w:top w:w="55" w:type="dxa"/>
              <w:left w:w="47" w:type="dxa"/>
              <w:bottom w:w="55" w:type="dxa"/>
              <w:right w:w="5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tcMar>
              <w:top w:w="55" w:type="dxa"/>
              <w:left w:w="47" w:type="dxa"/>
              <w:bottom w:w="55" w:type="dxa"/>
              <w:right w:w="57" w:type="dxa"/>
            </w:tcMar>
            <w:vAlign w:val="center"/>
          </w:tcPr>
          <w:p>
            <w:pPr>
              <w:pStyle w:val="Normal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Коммерческое предложение</w:t>
            </w:r>
          </w:p>
          <w:p>
            <w:pPr>
              <w:pStyle w:val="Normal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ООО «Транзит-В»</w:t>
            </w:r>
          </w:p>
          <w:p>
            <w:pPr>
              <w:pStyle w:val="Normal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от 10.09.2026</w:t>
            </w:r>
          </w:p>
          <w:p>
            <w:pPr>
              <w:pStyle w:val="Normal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вх.№б/н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tcMar>
              <w:top w:w="55" w:type="dxa"/>
              <w:left w:w="47" w:type="dxa"/>
              <w:bottom w:w="55" w:type="dxa"/>
              <w:right w:w="57" w:type="dxa"/>
            </w:tcMar>
            <w:vAlign w:val="center"/>
          </w:tcPr>
          <w:p>
            <w:pPr>
              <w:pStyle w:val="Normal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Коммерческое предложение</w:t>
            </w:r>
          </w:p>
          <w:p>
            <w:pPr>
              <w:pStyle w:val="Normal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ООО «Грейт Волл Мотор Рус»</w:t>
            </w:r>
          </w:p>
          <w:p>
            <w:pPr>
              <w:pStyle w:val="Normal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от 05.10.2026</w:t>
            </w:r>
          </w:p>
          <w:p>
            <w:pPr>
              <w:pStyle w:val="Normal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вх.№б/н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tcMar>
              <w:top w:w="55" w:type="dxa"/>
              <w:left w:w="47" w:type="dxa"/>
              <w:bottom w:w="55" w:type="dxa"/>
              <w:right w:w="57" w:type="dxa"/>
            </w:tcMar>
            <w:vAlign w:val="center"/>
          </w:tcPr>
          <w:p>
            <w:pPr>
              <w:pStyle w:val="Normal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Коммерческое предложение</w:t>
            </w:r>
          </w:p>
          <w:p>
            <w:pPr>
              <w:pStyle w:val="Normal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ООО  «Глобус Мотор»</w:t>
            </w:r>
          </w:p>
          <w:p>
            <w:pPr>
              <w:pStyle w:val="Normal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от 05.10.2026  вх.№б/н</w:t>
            </w:r>
          </w:p>
        </w:tc>
      </w:tr>
      <w:tr>
        <w:trPr>
          <w:trHeight w:val="604" w:hRule="atLeast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47" w:type="dxa"/>
              <w:right w:w="5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52" w:type="dxa"/>
              <w:right w:w="5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Техническое обслуживание №2 автомобиля HAVAL F7</w:t>
            </w:r>
            <w:r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VIN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: XZGEF04A0SA383279, 2025 год выпуска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52" w:type="dxa"/>
              <w:right w:w="5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45.20.11.100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52" w:type="dxa"/>
              <w:right w:w="5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6,44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52" w:type="dxa"/>
              <w:right w:w="5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усл. ед.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52" w:type="dxa"/>
              <w:right w:w="5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22435,00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52" w:type="dxa"/>
              <w:right w:w="5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24385,00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52" w:type="dxa"/>
              <w:right w:w="5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25500,00</w:t>
            </w:r>
          </w:p>
        </w:tc>
      </w:tr>
      <w:tr>
        <w:trPr>
          <w:trHeight w:val="374" w:hRule="atLeast"/>
        </w:trPr>
        <w:tc>
          <w:tcPr>
            <w:tcW w:w="8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47" w:type="dxa"/>
              <w:right w:w="5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52" w:type="dxa"/>
              <w:right w:w="5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22435,00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52" w:type="dxa"/>
              <w:right w:w="5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24385,00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52" w:type="dxa"/>
              <w:right w:w="5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25500,00</w:t>
            </w:r>
          </w:p>
        </w:tc>
      </w:tr>
    </w:tbl>
    <w:p>
      <w:pPr>
        <w:pStyle w:val="Normal"/>
        <w:widowControl w:val="false"/>
        <w:spacing w:lineRule="auto" w:line="240" w:before="0" w:after="0"/>
        <w:ind w:firstLine="708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  <w:lang w:bidi="en-US"/>
        </w:rPr>
        <w:t>Таким образом, цена Контракта составляет: 22435</w:t>
      </w:r>
      <w:r>
        <w:rPr>
          <w:rFonts w:eastAsia="Times New Roman" w:ascii="Times New Roman" w:hAnsi="Times New Roman"/>
          <w:b/>
          <w:bCs/>
          <w:color w:val="auto"/>
          <w:sz w:val="24"/>
          <w:szCs w:val="24"/>
          <w:lang w:bidi="en-US"/>
        </w:rPr>
        <w:t xml:space="preserve"> (двадцать две тысячи четыреста тридцать пять) рублей 00 копеек</w:t>
      </w:r>
      <w:r>
        <w:rPr>
          <w:rFonts w:ascii="Times New Roman" w:hAnsi="Times New Roman"/>
          <w:b/>
          <w:bCs/>
          <w:color w:val="auto"/>
          <w:sz w:val="24"/>
          <w:szCs w:val="24"/>
          <w:lang w:bidi="en-US"/>
        </w:rPr>
        <w:t>.</w:t>
      </w:r>
    </w:p>
    <w:p>
      <w:pPr>
        <w:pStyle w:val="Normal"/>
        <w:tabs>
          <w:tab w:val="clear" w:pos="708"/>
          <w:tab w:val="left" w:pos="612" w:leader="none"/>
        </w:tabs>
        <w:spacing w:lineRule="auto" w:line="240" w:before="0" w:after="0"/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color w:val="000000"/>
          <w:sz w:val="24"/>
          <w:szCs w:val="24"/>
        </w:rPr>
      </w:r>
    </w:p>
    <w:sectPr>
      <w:type w:val="nextPage"/>
      <w:pgSz w:orient="landscape" w:w="16838" w:h="11906"/>
      <w:pgMar w:left="1134" w:right="851" w:gutter="0" w:header="0" w:top="567" w:footer="0" w:bottom="42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Open Sans">
    <w:charset w:val="01"/>
    <w:family w:val="swiss"/>
    <w:pitch w:val="variable"/>
  </w:font>
  <w:font w:name="Courier New"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f4a2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uiPriority w:val="99"/>
    <w:semiHidden/>
    <w:qFormat/>
    <w:rsid w:val="00d6128b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ohit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Open Sans" w:hAnsi="Open Sans" w:eastAsia="DejaVu Sans" w:cs="Droid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Droid Sans"/>
    </w:rPr>
  </w:style>
  <w:style w:type="paragraph" w:styleId="BalloonText">
    <w:name w:val="Balloon Text"/>
    <w:basedOn w:val="Normal"/>
    <w:uiPriority w:val="99"/>
    <w:semiHidden/>
    <w:unhideWhenUsed/>
    <w:qFormat/>
    <w:rsid w:val="00d6128b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sPlusNonformat" w:customStyle="1">
    <w:name w:val="ConsPlusNonformat"/>
    <w:uiPriority w:val="99"/>
    <w:qFormat/>
    <w:rsid w:val="009f602f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NoSpacing">
    <w:name w:val="No Spacing"/>
    <w:uiPriority w:val="1"/>
    <w:qFormat/>
    <w:rsid w:val="00815df7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ar-SA" w:bidi="ar-SA"/>
    </w:rPr>
  </w:style>
  <w:style w:type="paragraph" w:styleId="Style17">
    <w:name w:val="Содержимое таблицы"/>
    <w:basedOn w:val="Normal"/>
    <w:qFormat/>
    <w:pPr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user4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014d90"/>
    <w:pPr>
      <w:spacing w:after="0" w:line="240" w:lineRule="auto"/>
    </w:pPr>
    <w:rPr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992C5-2BEA-433F-B398-E64CB3595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Application>LibreOffice/26.2.5.2$Linux_X86_64 LibreOffice_project/620$Build-2</Application>
  <AppVersion>15.0000</AppVersion>
  <Pages>1</Pages>
  <Words>194</Words>
  <Characters>1283</Characters>
  <CharactersWithSpaces>1447</CharactersWithSpaces>
  <Paragraphs>41</Paragraphs>
  <Company>УФНС РФ (6700)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2024-08-30T11:31:00Z</dcterms:created>
  <dc:creator>Лавренкова Ольга Александровна</dc:creator>
  <dc:description/>
  <dc:language>ru-RU</dc:language>
  <cp:lastModifiedBy/>
  <cp:lastPrinted>2026-10-05T15:39:15Z</cp:lastPrinted>
  <dcterms:modified xsi:type="dcterms:W3CDTF">2026-10-14T09:48:57Z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